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42" w:rsidRDefault="00482442" w:rsidP="00482442">
      <w:pPr>
        <w:shd w:val="clear" w:color="auto" w:fill="FFFFFF" w:themeFill="background1"/>
        <w:jc w:val="center"/>
        <w:rPr>
          <w:b/>
          <w:color w:val="FFFFFF" w:themeColor="background1"/>
          <w:sz w:val="24"/>
          <w:szCs w:val="24"/>
        </w:rPr>
      </w:pPr>
      <w:r>
        <w:rPr>
          <w:b/>
          <w:noProof/>
          <w:color w:val="FFFFFF" w:themeColor="background1"/>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-47767</wp:posOffset>
                </wp:positionH>
                <wp:positionV relativeFrom="paragraph">
                  <wp:posOffset>143301</wp:posOffset>
                </wp:positionV>
                <wp:extent cx="3978322" cy="982639"/>
                <wp:effectExtent l="0" t="0" r="22225" b="27305"/>
                <wp:wrapNone/>
                <wp:docPr id="11" name="Text Box 11"/>
                <wp:cNvGraphicFramePr/>
                <a:graphic xmlns:a="http://schemas.openxmlformats.org/drawingml/2006/main">
                  <a:graphicData uri="http://schemas.microsoft.com/office/word/2010/wordprocessingShape">
                    <wps:wsp>
                      <wps:cNvSpPr txBox="1"/>
                      <wps:spPr>
                        <a:xfrm>
                          <a:off x="0" y="0"/>
                          <a:ext cx="3978322" cy="982639"/>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B06F8E" w:rsidRPr="00482442" w:rsidRDefault="00B06F8E" w:rsidP="00790B05">
                            <w:pPr>
                              <w:shd w:val="clear" w:color="auto" w:fill="FFFFFF" w:themeFill="background1"/>
                              <w:spacing w:line="360" w:lineRule="auto"/>
                              <w:jc w:val="center"/>
                              <w:rPr>
                                <w:b/>
                                <w:sz w:val="32"/>
                                <w:szCs w:val="32"/>
                              </w:rPr>
                            </w:pPr>
                            <w:r w:rsidRPr="00482442">
                              <w:rPr>
                                <w:b/>
                                <w:sz w:val="32"/>
                                <w:szCs w:val="32"/>
                              </w:rPr>
                              <w:t>Careerpilot</w:t>
                            </w:r>
                          </w:p>
                          <w:p w:rsidR="00B06F8E" w:rsidRDefault="00B06F8E" w:rsidP="00790B05">
                            <w:pPr>
                              <w:shd w:val="clear" w:color="auto" w:fill="FFFFFF" w:themeFill="background1"/>
                              <w:spacing w:line="360" w:lineRule="auto"/>
                              <w:jc w:val="center"/>
                              <w:rPr>
                                <w:b/>
                                <w:sz w:val="32"/>
                                <w:szCs w:val="32"/>
                              </w:rPr>
                            </w:pPr>
                            <w:r w:rsidRPr="00482442">
                              <w:rPr>
                                <w:b/>
                                <w:sz w:val="32"/>
                                <w:szCs w:val="32"/>
                              </w:rPr>
                              <w:t xml:space="preserve"> Report to WIN NCOP: February 2019</w:t>
                            </w:r>
                          </w:p>
                          <w:p w:rsidR="00B06F8E" w:rsidRPr="00482442" w:rsidRDefault="00B06F8E" w:rsidP="00482442">
                            <w:pPr>
                              <w:shd w:val="clear" w:color="auto" w:fill="FFFFFF" w:themeFill="background1"/>
                              <w:jc w:val="center"/>
                              <w:rPr>
                                <w:b/>
                                <w:sz w:val="32"/>
                                <w:szCs w:val="32"/>
                              </w:rPr>
                            </w:pPr>
                          </w:p>
                          <w:p w:rsidR="00B06F8E" w:rsidRDefault="00B06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5pt;margin-top:11.3pt;width:313.25pt;height:7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" fillcolor="#4bacc6 [3208]" strokecolor="#205867 [1608]" strokeweight="2pt">
                <v:textbox>
                  <w:txbxContent>
                    <w:p w:rsidR="00B06F8E" w:rsidRPr="00482442" w:rsidRDefault="00B06F8E" w:rsidP="00790B05">
                      <w:pPr>
                        <w:shd w:val="clear" w:color="auto" w:fill="FFFFFF" w:themeFill="background1"/>
                        <w:spacing w:line="360" w:lineRule="auto"/>
                        <w:jc w:val="center"/>
                        <w:rPr>
                          <w:b/>
                          <w:sz w:val="32"/>
                          <w:szCs w:val="32"/>
                        </w:rPr>
                      </w:pPr>
                      <w:r w:rsidRPr="00482442">
                        <w:rPr>
                          <w:b/>
                          <w:sz w:val="32"/>
                          <w:szCs w:val="32"/>
                        </w:rPr>
                        <w:t>Careerpilot</w:t>
                      </w:r>
                    </w:p>
                    <w:p w:rsidR="00B06F8E" w:rsidRDefault="00B06F8E" w:rsidP="00790B05">
                      <w:pPr>
                        <w:shd w:val="clear" w:color="auto" w:fill="FFFFFF" w:themeFill="background1"/>
                        <w:spacing w:line="360" w:lineRule="auto"/>
                        <w:jc w:val="center"/>
                        <w:rPr>
                          <w:b/>
                          <w:sz w:val="32"/>
                          <w:szCs w:val="32"/>
                        </w:rPr>
                      </w:pPr>
                      <w:r w:rsidRPr="00482442">
                        <w:rPr>
                          <w:b/>
                          <w:sz w:val="32"/>
                          <w:szCs w:val="32"/>
                        </w:rPr>
                        <w:t xml:space="preserve"> Report to WIN NCOP: February 2019</w:t>
                      </w:r>
                    </w:p>
                    <w:p w:rsidR="00B06F8E" w:rsidRPr="00482442" w:rsidRDefault="00B06F8E" w:rsidP="00482442">
                      <w:pPr>
                        <w:shd w:val="clear" w:color="auto" w:fill="FFFFFF" w:themeFill="background1"/>
                        <w:jc w:val="center"/>
                        <w:rPr>
                          <w:b/>
                          <w:sz w:val="32"/>
                          <w:szCs w:val="32"/>
                        </w:rPr>
                      </w:pPr>
                    </w:p>
                    <w:p w:rsidR="00B06F8E" w:rsidRDefault="00B06F8E"/>
                  </w:txbxContent>
                </v:textbox>
              </v:shape>
            </w:pict>
          </mc:Fallback>
        </mc:AlternateContent>
      </w:r>
      <w:r>
        <w:rPr>
          <w:b/>
          <w:noProof/>
          <w:color w:val="FFFFFF" w:themeColor="background1"/>
          <w:sz w:val="24"/>
          <w:szCs w:val="24"/>
          <w:lang w:eastAsia="en-GB"/>
        </w:rPr>
        <mc:AlternateContent>
          <mc:Choice Requires="wps">
            <w:drawing>
              <wp:anchor distT="0" distB="0" distL="114300" distR="114300" simplePos="0" relativeHeight="251662848" behindDoc="0" locked="0" layoutInCell="1" allowOverlap="1" wp14:anchorId="405E5D8B" wp14:editId="7F377E13">
                <wp:simplePos x="0" y="0"/>
                <wp:positionH relativeFrom="column">
                  <wp:posOffset>3992719</wp:posOffset>
                </wp:positionH>
                <wp:positionV relativeFrom="paragraph">
                  <wp:posOffset>103211</wp:posOffset>
                </wp:positionV>
                <wp:extent cx="1965278" cy="682388"/>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965278"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F8E" w:rsidRDefault="00B06F8E" w:rsidP="00482442">
                            <w:pPr>
                              <w:spacing w:line="240" w:lineRule="auto"/>
                              <w:jc w:val="center"/>
                            </w:pPr>
                            <w:r>
                              <w:rPr>
                                <w:noProof/>
                                <w:lang w:eastAsia="en-GB"/>
                              </w:rPr>
                              <w:drawing>
                                <wp:inline distT="0" distB="0" distL="0" distR="0">
                                  <wp:extent cx="1775460" cy="310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logo.png"/>
                                          <pic:cNvPicPr/>
                                        </pic:nvPicPr>
                                        <pic:blipFill>
                                          <a:blip r:embed="rId5">
                                            <a:extLst>
                                              <a:ext uri="{28A0092B-C50C-407E-A947-70E740481C1C}">
                                                <a14:useLocalDpi xmlns:a14="http://schemas.microsoft.com/office/drawing/2010/main" val="0"/>
                                              </a:ext>
                                            </a:extLst>
                                          </a:blip>
                                          <a:stretch>
                                            <a:fillRect/>
                                          </a:stretch>
                                        </pic:blipFill>
                                        <pic:spPr>
                                          <a:xfrm>
                                            <a:off x="0" y="0"/>
                                            <a:ext cx="1775460" cy="310515"/>
                                          </a:xfrm>
                                          <a:prstGeom prst="rect">
                                            <a:avLst/>
                                          </a:prstGeom>
                                        </pic:spPr>
                                      </pic:pic>
                                    </a:graphicData>
                                  </a:graphic>
                                </wp:inline>
                              </w:drawing>
                            </w:r>
                          </w:p>
                          <w:p w:rsidR="00B06F8E" w:rsidRDefault="00B06F8E" w:rsidP="00482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5D8B" id="Text Box 6" o:spid="_x0000_s1027" type="#_x0000_t202" style="position:absolute;left:0;text-align:left;margin-left:314.4pt;margin-top:8.15pt;width:154.75pt;height: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" fillcolor="white [3201]" stroked="f" strokeweight=".5pt">
                <v:textbox>
                  <w:txbxContent>
                    <w:p w:rsidR="00B06F8E" w:rsidRDefault="00B06F8E" w:rsidP="00482442">
                      <w:pPr>
                        <w:spacing w:line="240" w:lineRule="auto"/>
                        <w:jc w:val="center"/>
                      </w:pPr>
                      <w:r>
                        <w:rPr>
                          <w:noProof/>
                          <w:lang w:eastAsia="en-GB"/>
                        </w:rPr>
                        <w:drawing>
                          <wp:inline distT="0" distB="0" distL="0" distR="0">
                            <wp:extent cx="1775460" cy="310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logo.png"/>
                                    <pic:cNvPicPr/>
                                  </pic:nvPicPr>
                                  <pic:blipFill>
                                    <a:blip r:embed="rId6">
                                      <a:extLst>
                                        <a:ext uri="{28A0092B-C50C-407E-A947-70E740481C1C}">
                                          <a14:useLocalDpi xmlns:a14="http://schemas.microsoft.com/office/drawing/2010/main" val="0"/>
                                        </a:ext>
                                      </a:extLst>
                                    </a:blip>
                                    <a:stretch>
                                      <a:fillRect/>
                                    </a:stretch>
                                  </pic:blipFill>
                                  <pic:spPr>
                                    <a:xfrm>
                                      <a:off x="0" y="0"/>
                                      <a:ext cx="1775460" cy="310515"/>
                                    </a:xfrm>
                                    <a:prstGeom prst="rect">
                                      <a:avLst/>
                                    </a:prstGeom>
                                  </pic:spPr>
                                </pic:pic>
                              </a:graphicData>
                            </a:graphic>
                          </wp:inline>
                        </w:drawing>
                      </w:r>
                    </w:p>
                    <w:p w:rsidR="00B06F8E" w:rsidRDefault="00B06F8E" w:rsidP="00482442"/>
                  </w:txbxContent>
                </v:textbox>
              </v:shape>
            </w:pict>
          </mc:Fallback>
        </mc:AlternateContent>
      </w:r>
    </w:p>
    <w:p w:rsidR="00482442" w:rsidRDefault="00482442" w:rsidP="00482442">
      <w:pPr>
        <w:shd w:val="clear" w:color="auto" w:fill="FFFFFF" w:themeFill="background1"/>
        <w:jc w:val="center"/>
        <w:rPr>
          <w:b/>
          <w:color w:val="FFFFFF" w:themeColor="background1"/>
          <w:sz w:val="24"/>
          <w:szCs w:val="24"/>
        </w:rPr>
      </w:pPr>
      <w:r>
        <w:rPr>
          <w:b/>
          <w:noProof/>
          <w:color w:val="FFFFFF" w:themeColor="background1"/>
          <w:sz w:val="24"/>
          <w:szCs w:val="24"/>
          <w:lang w:eastAsia="en-GB"/>
        </w:rPr>
        <mc:AlternateContent>
          <mc:Choice Requires="wps">
            <w:drawing>
              <wp:anchor distT="0" distB="0" distL="114300" distR="114300" simplePos="0" relativeHeight="251664896" behindDoc="0" locked="0" layoutInCell="1" allowOverlap="1">
                <wp:simplePos x="0" y="0"/>
                <wp:positionH relativeFrom="page">
                  <wp:posOffset>4899565</wp:posOffset>
                </wp:positionH>
                <wp:positionV relativeFrom="paragraph">
                  <wp:posOffset>169431</wp:posOffset>
                </wp:positionV>
                <wp:extent cx="1965278" cy="682388"/>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965278"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F8E" w:rsidRDefault="00B06F8E">
                            <w:r w:rsidRPr="00482442">
                              <w:rPr>
                                <w:noProof/>
                                <w:lang w:eastAsia="en-GB"/>
                              </w:rPr>
                              <w:drawing>
                                <wp:inline distT="0" distB="0" distL="0" distR="0" wp14:anchorId="489F403E" wp14:editId="184D82EC">
                                  <wp:extent cx="1789430" cy="572770"/>
                                  <wp:effectExtent l="0" t="0" r="1270" b="0"/>
                                  <wp:docPr id="5" name="Picture 2" descr="WIN_Logo_Lockup_Revers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IN_Logo_Lockup_Reversed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430" cy="572770"/>
                                          </a:xfrm>
                                          <a:prstGeom prst="rect">
                                            <a:avLst/>
                                          </a:prstGeom>
                                          <a:noFill/>
                                          <a:ln w="25400" algn="ctr">
                                            <a:noFill/>
                                            <a:miter lim="800000"/>
                                            <a:headEnd/>
                                            <a:tailEnd/>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85.8pt;margin-top:13.35pt;width:154.75pt;height:5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1ljQIAAJEFAAAOAAAAZHJzL2Uyb0RvYy54bWysVE1vGyEQvVfqf0Dcm/VHPhzL68hNlKpS&#10;lERNqpwxCzYqMBSwd91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" fillcolor="white [3201]" stroked="f" strokeweight=".5pt">
                <v:textbox>
                  <w:txbxContent>
                    <w:p w:rsidR="00B06F8E" w:rsidRDefault="00B06F8E">
                      <w:r w:rsidRPr="00482442">
                        <w:rPr>
                          <w:noProof/>
                          <w:lang w:eastAsia="en-GB"/>
                        </w:rPr>
                        <w:drawing>
                          <wp:inline distT="0" distB="0" distL="0" distR="0" wp14:anchorId="489F403E" wp14:editId="184D82EC">
                            <wp:extent cx="1789430" cy="572770"/>
                            <wp:effectExtent l="0" t="0" r="1270" b="0"/>
                            <wp:docPr id="5" name="Picture 2" descr="WIN_Logo_Lockup_Revers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IN_Logo_Lockup_Reverse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572770"/>
                                    </a:xfrm>
                                    <a:prstGeom prst="rect">
                                      <a:avLst/>
                                    </a:prstGeom>
                                    <a:noFill/>
                                    <a:ln w="25400" algn="ctr">
                                      <a:noFill/>
                                      <a:miter lim="800000"/>
                                      <a:headEnd/>
                                      <a:tailEnd/>
                                    </a:ln>
                                    <a:effectLst/>
                                    <a:extLst/>
                                  </pic:spPr>
                                </pic:pic>
                              </a:graphicData>
                            </a:graphic>
                          </wp:inline>
                        </w:drawing>
                      </w:r>
                    </w:p>
                  </w:txbxContent>
                </v:textbox>
                <w10:wrap anchorx="page"/>
              </v:shape>
            </w:pict>
          </mc:Fallback>
        </mc:AlternateContent>
      </w:r>
    </w:p>
    <w:p w:rsidR="00482442" w:rsidRDefault="00482442" w:rsidP="00482442">
      <w:pPr>
        <w:shd w:val="clear" w:color="auto" w:fill="FFFFFF" w:themeFill="background1"/>
        <w:jc w:val="center"/>
        <w:rPr>
          <w:b/>
          <w:color w:val="FFFFFF" w:themeColor="background1"/>
          <w:sz w:val="24"/>
          <w:szCs w:val="24"/>
        </w:rPr>
      </w:pPr>
    </w:p>
    <w:p w:rsidR="00311864" w:rsidRDefault="00311864" w:rsidP="001514E5">
      <w:pPr>
        <w:jc w:val="center"/>
        <w:rPr>
          <w:rStyle w:val="Hyperlink"/>
          <w:b/>
          <w:color w:val="auto"/>
          <w:u w:val="none"/>
        </w:rPr>
      </w:pPr>
    </w:p>
    <w:p w:rsidR="003814E9" w:rsidRPr="00311864" w:rsidRDefault="003814E9" w:rsidP="00311864">
      <w:pPr>
        <w:shd w:val="clear" w:color="auto" w:fill="DAEEF3" w:themeFill="accent5" w:themeFillTint="33"/>
        <w:rPr>
          <w:rStyle w:val="Hyperlink"/>
          <w:b/>
          <w:color w:val="auto"/>
          <w:u w:val="none"/>
        </w:rPr>
      </w:pPr>
      <w:r w:rsidRPr="00311864">
        <w:rPr>
          <w:rStyle w:val="Hyperlink"/>
          <w:b/>
          <w:color w:val="auto"/>
          <w:u w:val="none"/>
        </w:rPr>
        <w:t>Key points:</w:t>
      </w:r>
    </w:p>
    <w:p w:rsidR="003814E9" w:rsidRPr="00790B05" w:rsidRDefault="003814E9" w:rsidP="00790B05">
      <w:pPr>
        <w:pStyle w:val="ListParagraph"/>
        <w:numPr>
          <w:ilvl w:val="0"/>
          <w:numId w:val="14"/>
        </w:numPr>
        <w:rPr>
          <w:rStyle w:val="Hyperlink"/>
          <w:color w:val="auto"/>
          <w:u w:val="none"/>
        </w:rPr>
      </w:pPr>
      <w:r w:rsidRPr="00790B05">
        <w:rPr>
          <w:rStyle w:val="Hyperlink"/>
          <w:color w:val="auto"/>
          <w:u w:val="none"/>
        </w:rPr>
        <w:t>The Careerpilot Guidance sessions</w:t>
      </w:r>
      <w:r w:rsidR="00482442" w:rsidRPr="00790B05">
        <w:rPr>
          <w:rStyle w:val="Hyperlink"/>
          <w:color w:val="auto"/>
          <w:u w:val="none"/>
        </w:rPr>
        <w:t xml:space="preserve"> meet the individual needs of WIN students and enabled them to feel better informed and more optimistic about their future plans.</w:t>
      </w:r>
    </w:p>
    <w:p w:rsidR="00482442" w:rsidRDefault="00482442" w:rsidP="00790B05">
      <w:pPr>
        <w:pStyle w:val="ListParagraph"/>
        <w:numPr>
          <w:ilvl w:val="0"/>
          <w:numId w:val="14"/>
        </w:numPr>
        <w:rPr>
          <w:rStyle w:val="Hyperlink"/>
          <w:color w:val="auto"/>
          <w:u w:val="none"/>
        </w:rPr>
      </w:pPr>
      <w:r w:rsidRPr="00790B05">
        <w:rPr>
          <w:rStyle w:val="Hyperlink"/>
          <w:color w:val="auto"/>
          <w:u w:val="none"/>
        </w:rPr>
        <w:t xml:space="preserve">The Careerpilot website impacts on young people’s awareness of progression choices and </w:t>
      </w:r>
      <w:r w:rsidR="00790B05">
        <w:rPr>
          <w:rStyle w:val="Hyperlink"/>
          <w:color w:val="auto"/>
          <w:u w:val="none"/>
        </w:rPr>
        <w:t xml:space="preserve">the many </w:t>
      </w:r>
      <w:r w:rsidRPr="00790B05">
        <w:rPr>
          <w:rStyle w:val="Hyperlink"/>
          <w:color w:val="auto"/>
          <w:u w:val="none"/>
        </w:rPr>
        <w:t xml:space="preserve">routes to </w:t>
      </w:r>
      <w:r w:rsidR="00BC371E" w:rsidRPr="00790B05">
        <w:rPr>
          <w:rStyle w:val="Hyperlink"/>
          <w:color w:val="auto"/>
          <w:u w:val="none"/>
        </w:rPr>
        <w:t>HIM</w:t>
      </w:r>
      <w:r w:rsidRPr="00790B05">
        <w:rPr>
          <w:rStyle w:val="Hyperlink"/>
          <w:color w:val="auto"/>
          <w:u w:val="none"/>
        </w:rPr>
        <w:t>.</w:t>
      </w:r>
    </w:p>
    <w:p w:rsidR="006F1C63" w:rsidRPr="00790B05" w:rsidRDefault="006F1C63" w:rsidP="00790B05">
      <w:pPr>
        <w:pStyle w:val="ListParagraph"/>
        <w:numPr>
          <w:ilvl w:val="0"/>
          <w:numId w:val="14"/>
        </w:numPr>
        <w:rPr>
          <w:rStyle w:val="Hyperlink"/>
          <w:color w:val="auto"/>
          <w:u w:val="none"/>
        </w:rPr>
      </w:pPr>
      <w:r>
        <w:rPr>
          <w:rStyle w:val="Hyperlink"/>
          <w:color w:val="auto"/>
          <w:u w:val="none"/>
        </w:rPr>
        <w:t>The 2018-19 model has integrated HEAs into the Careerpilot Guidance process.</w:t>
      </w:r>
    </w:p>
    <w:p w:rsidR="00482442" w:rsidRDefault="00482442" w:rsidP="00790B05">
      <w:pPr>
        <w:pStyle w:val="ListParagraph"/>
        <w:numPr>
          <w:ilvl w:val="0"/>
          <w:numId w:val="14"/>
        </w:numPr>
        <w:rPr>
          <w:rStyle w:val="Hyperlink"/>
          <w:color w:val="auto"/>
          <w:u w:val="none"/>
        </w:rPr>
      </w:pPr>
      <w:r w:rsidRPr="00790B05">
        <w:rPr>
          <w:rStyle w:val="Hyperlink"/>
          <w:color w:val="auto"/>
          <w:u w:val="none"/>
        </w:rPr>
        <w:t>WIN NCOP students face mul</w:t>
      </w:r>
      <w:r w:rsidR="00790B05">
        <w:rPr>
          <w:rStyle w:val="Hyperlink"/>
          <w:color w:val="auto"/>
          <w:u w:val="none"/>
        </w:rPr>
        <w:t>tiple barriers: financial; parental;</w:t>
      </w:r>
      <w:r w:rsidRPr="00790B05">
        <w:rPr>
          <w:rStyle w:val="Hyperlink"/>
          <w:color w:val="auto"/>
          <w:u w:val="none"/>
        </w:rPr>
        <w:t xml:space="preserve"> in their understanding of career a</w:t>
      </w:r>
      <w:r w:rsidR="00790B05">
        <w:rPr>
          <w:rStyle w:val="Hyperlink"/>
          <w:color w:val="auto"/>
          <w:u w:val="none"/>
        </w:rPr>
        <w:t xml:space="preserve">nd progression pathways; </w:t>
      </w:r>
      <w:r w:rsidRPr="00790B05">
        <w:rPr>
          <w:rStyle w:val="Hyperlink"/>
          <w:color w:val="auto"/>
          <w:u w:val="none"/>
        </w:rPr>
        <w:t>geographically</w:t>
      </w:r>
      <w:r w:rsidR="00790B05">
        <w:rPr>
          <w:rStyle w:val="Hyperlink"/>
          <w:color w:val="auto"/>
          <w:u w:val="none"/>
        </w:rPr>
        <w:t>;</w:t>
      </w:r>
      <w:r w:rsidRPr="00790B05">
        <w:rPr>
          <w:rStyle w:val="Hyperlink"/>
          <w:color w:val="auto"/>
          <w:u w:val="none"/>
        </w:rPr>
        <w:t xml:space="preserve"> </w:t>
      </w:r>
      <w:r w:rsidR="00790B05" w:rsidRPr="00790B05">
        <w:rPr>
          <w:rStyle w:val="Hyperlink"/>
          <w:color w:val="auto"/>
          <w:u w:val="none"/>
        </w:rPr>
        <w:t>in their progression decisions</w:t>
      </w:r>
      <w:r w:rsidR="00B06F8E">
        <w:rPr>
          <w:rStyle w:val="Hyperlink"/>
          <w:color w:val="auto"/>
          <w:u w:val="none"/>
        </w:rPr>
        <w:t xml:space="preserve"> which can favour a vocational rather than an academic pathway</w:t>
      </w:r>
      <w:r w:rsidR="00790B05" w:rsidRPr="00790B05">
        <w:rPr>
          <w:rStyle w:val="Hyperlink"/>
          <w:color w:val="auto"/>
          <w:u w:val="none"/>
        </w:rPr>
        <w:t>.</w:t>
      </w:r>
    </w:p>
    <w:p w:rsidR="00107AA5" w:rsidRPr="00107AA5" w:rsidRDefault="00107AA5" w:rsidP="00107AA5">
      <w:pPr>
        <w:pStyle w:val="ListParagraph"/>
        <w:numPr>
          <w:ilvl w:val="0"/>
          <w:numId w:val="16"/>
        </w:numPr>
        <w:tabs>
          <w:tab w:val="left" w:pos="7275"/>
        </w:tabs>
        <w:rPr>
          <w:rStyle w:val="Hyperlink"/>
          <w:bCs/>
          <w:color w:val="auto"/>
          <w:u w:val="none"/>
        </w:rPr>
      </w:pPr>
      <w:r>
        <w:rPr>
          <w:rStyle w:val="Hyperlink"/>
          <w:color w:val="auto"/>
          <w:u w:val="none"/>
        </w:rPr>
        <w:t xml:space="preserve">WIN students would like help with </w:t>
      </w:r>
      <w:r>
        <w:rPr>
          <w:bCs/>
        </w:rPr>
        <w:t>choosing the right course, understanding what student life would be like and about financial support.</w:t>
      </w:r>
    </w:p>
    <w:p w:rsidR="00790B05" w:rsidRPr="00790B05" w:rsidRDefault="00790B05" w:rsidP="00790B05">
      <w:pPr>
        <w:pStyle w:val="ListParagraph"/>
        <w:numPr>
          <w:ilvl w:val="0"/>
          <w:numId w:val="14"/>
        </w:numPr>
        <w:rPr>
          <w:rStyle w:val="Hyperlink"/>
          <w:color w:val="auto"/>
          <w:u w:val="none"/>
        </w:rPr>
      </w:pPr>
      <w:r w:rsidRPr="00790B05">
        <w:rPr>
          <w:rStyle w:val="Hyperlink"/>
          <w:color w:val="auto"/>
          <w:u w:val="none"/>
        </w:rPr>
        <w:t xml:space="preserve">Interventions through mentoring, work experience and support to overcome individual barriers could </w:t>
      </w:r>
      <w:r>
        <w:rPr>
          <w:rStyle w:val="Hyperlink"/>
          <w:color w:val="auto"/>
          <w:u w:val="none"/>
        </w:rPr>
        <w:t xml:space="preserve">have a positive impact on </w:t>
      </w:r>
      <w:r w:rsidRPr="00790B05">
        <w:rPr>
          <w:rStyle w:val="Hyperlink"/>
          <w:color w:val="auto"/>
          <w:u w:val="none"/>
        </w:rPr>
        <w:t>WIN students.</w:t>
      </w:r>
    </w:p>
    <w:p w:rsidR="00311864" w:rsidRPr="00311864" w:rsidRDefault="00311864" w:rsidP="00311864">
      <w:pPr>
        <w:shd w:val="clear" w:color="auto" w:fill="DAEEF3" w:themeFill="accent5" w:themeFillTint="33"/>
        <w:rPr>
          <w:rStyle w:val="Hyperlink"/>
          <w:b/>
          <w:color w:val="auto"/>
          <w:u w:val="none"/>
        </w:rPr>
      </w:pPr>
      <w:r w:rsidRPr="00311864">
        <w:rPr>
          <w:rStyle w:val="Hyperlink"/>
          <w:b/>
          <w:color w:val="auto"/>
          <w:u w:val="none"/>
        </w:rPr>
        <w:t xml:space="preserve">Careerpilot </w:t>
      </w:r>
      <w:r>
        <w:rPr>
          <w:rStyle w:val="Hyperlink"/>
          <w:b/>
          <w:color w:val="auto"/>
          <w:u w:val="none"/>
        </w:rPr>
        <w:t>as part of the WIN NCOP offer:</w:t>
      </w:r>
    </w:p>
    <w:p w:rsidR="00896EB4" w:rsidRPr="004575A3" w:rsidRDefault="00802035">
      <w:hyperlink r:id="rId9" w:history="1">
        <w:r w:rsidR="004575A3" w:rsidRPr="00986390">
          <w:rPr>
            <w:rStyle w:val="Hyperlink"/>
          </w:rPr>
          <w:t>Careerpilot</w:t>
        </w:r>
      </w:hyperlink>
      <w:r w:rsidR="004575A3" w:rsidRPr="004575A3">
        <w:t xml:space="preserve"> is an impartial careers website providing 13-19 year olds with information on all the available pathways and the multiple routes to higher level study. The site also includes information on jobs and providers.  ‘Career Tools’ help students personalise their choices and complete </w:t>
      </w:r>
      <w:r w:rsidR="006F36B8">
        <w:t xml:space="preserve">and store </w:t>
      </w:r>
      <w:r w:rsidR="004575A3" w:rsidRPr="004575A3">
        <w:t xml:space="preserve">quizzes, including </w:t>
      </w:r>
      <w:r w:rsidR="005C0B53">
        <w:t xml:space="preserve">the </w:t>
      </w:r>
      <w:r w:rsidR="004575A3" w:rsidRPr="004575A3">
        <w:t>Skills Map and Next Steps.</w:t>
      </w:r>
      <w:r w:rsidR="00896EB4">
        <w:t xml:space="preserve"> The site also includes a Parent Zone and a Repor</w:t>
      </w:r>
      <w:r w:rsidR="00986390">
        <w:t>ting Zone, where the students’ C</w:t>
      </w:r>
      <w:r w:rsidR="00896EB4">
        <w:t>areer Tools reports are stored and can be viewed by schools and colleges.</w:t>
      </w:r>
    </w:p>
    <w:p w:rsidR="004575A3" w:rsidRPr="004575A3" w:rsidRDefault="004575A3">
      <w:r w:rsidRPr="004575A3">
        <w:t>T</w:t>
      </w:r>
      <w:r w:rsidR="006F36B8">
        <w:t>he WIN NCOP has commissioned experienced careers advisers</w:t>
      </w:r>
      <w:r w:rsidRPr="004575A3">
        <w:t xml:space="preserve"> </w:t>
      </w:r>
      <w:r w:rsidR="006F36B8">
        <w:t xml:space="preserve">from the </w:t>
      </w:r>
      <w:r w:rsidRPr="004575A3">
        <w:t>Caree</w:t>
      </w:r>
      <w:r w:rsidR="006F36B8">
        <w:t xml:space="preserve">rpilot Team to provide one hour, one to one or small group </w:t>
      </w:r>
      <w:r w:rsidRPr="004575A3">
        <w:t>Careerpilot sessions to all WIN cohort students i</w:t>
      </w:r>
      <w:r w:rsidR="006F36B8">
        <w:t>n Y10 – Y13, in each year of the NCOP project, and to offer workshop sessions for whole year groups</w:t>
      </w:r>
      <w:r w:rsidR="00986390">
        <w:t xml:space="preserve"> and staff training</w:t>
      </w:r>
      <w:r w:rsidR="006F36B8">
        <w:t>, in each targeted school.</w:t>
      </w:r>
    </w:p>
    <w:p w:rsidR="00B71AC8" w:rsidRDefault="00B71AC8">
      <w:r>
        <w:t xml:space="preserve">Each school </w:t>
      </w:r>
      <w:r w:rsidR="005C0B53">
        <w:t>has been</w:t>
      </w:r>
      <w:r>
        <w:t xml:space="preserve"> given an </w:t>
      </w:r>
      <w:r w:rsidR="00F7398E">
        <w:t xml:space="preserve">annual </w:t>
      </w:r>
      <w:r>
        <w:t>allocation o</w:t>
      </w:r>
      <w:r w:rsidR="00F7398E">
        <w:t xml:space="preserve">f Careerpilot </w:t>
      </w:r>
      <w:r w:rsidR="005C0B53">
        <w:t xml:space="preserve">sessions with target </w:t>
      </w:r>
      <w:r w:rsidR="00F7398E">
        <w:t xml:space="preserve">students. </w:t>
      </w:r>
      <w:r w:rsidR="008E7B5F">
        <w:t>T</w:t>
      </w:r>
      <w:r w:rsidR="00F7398E">
        <w:t xml:space="preserve">arget students </w:t>
      </w:r>
      <w:r w:rsidR="008E7B5F">
        <w:t>are</w:t>
      </w:r>
      <w:r w:rsidR="00F7398E">
        <w:t xml:space="preserve"> </w:t>
      </w:r>
      <w:r w:rsidR="005C0B53">
        <w:t>20</w:t>
      </w:r>
      <w:r>
        <w:t>% of students f</w:t>
      </w:r>
      <w:r w:rsidR="00F7398E">
        <w:t>rom NCOP wards</w:t>
      </w:r>
      <w:r w:rsidR="008E7B5F">
        <w:t xml:space="preserve"> with GCSE potential or achievement. </w:t>
      </w:r>
      <w:r w:rsidR="005C0B53">
        <w:t xml:space="preserve">Office for Student’s </w:t>
      </w:r>
      <w:r>
        <w:t xml:space="preserve">data </w:t>
      </w:r>
      <w:r w:rsidR="00F7398E">
        <w:t xml:space="preserve">was used </w:t>
      </w:r>
      <w:r w:rsidR="00E754E9">
        <w:t>to determine indicative numbers by school and target ward.</w:t>
      </w:r>
    </w:p>
    <w:p w:rsidR="00790B05" w:rsidRDefault="00790B05">
      <w:r>
        <w:t>In 2</w:t>
      </w:r>
      <w:r w:rsidR="006F1C63">
        <w:t xml:space="preserve">017-18 the guidance adviser, in the one hour session, </w:t>
      </w:r>
      <w:r>
        <w:t>started with the Careerpilot Career Tools and then provided guidance, with the HEAS providing follow-up</w:t>
      </w:r>
      <w:r w:rsidR="006F1C63">
        <w:t xml:space="preserve"> after guidance</w:t>
      </w:r>
      <w:r>
        <w:t xml:space="preserve">. In 2018-19, to extend the time spent on guidance and to provide the HEAs with a tool to support engagement with their WIN students </w:t>
      </w:r>
      <w:r w:rsidR="006F1C63">
        <w:t>a revised model is being implemented.</w:t>
      </w:r>
    </w:p>
    <w:p w:rsidR="006F1C63" w:rsidRDefault="006F1C63">
      <w:r>
        <w:t>To provide HEAs with the professional skills to support careers and guidance and to extend the capacity within the WIN to provide L6 guidance, six WIN staff and 2 Careerpilot staff are working towards the Diploma of Careers Guidance and Development and are expected to achieve the award in 2019/20.</w:t>
      </w:r>
    </w:p>
    <w:p w:rsidR="006F1C63" w:rsidRDefault="006F1C63"/>
    <w:p w:rsidR="00790B05" w:rsidRPr="00790B05" w:rsidRDefault="00790B05" w:rsidP="00790B05">
      <w:pPr>
        <w:jc w:val="center"/>
        <w:rPr>
          <w:b/>
        </w:rPr>
      </w:pPr>
      <w:r w:rsidRPr="00790B05">
        <w:rPr>
          <w:b/>
          <w:noProof/>
          <w:shd w:val="clear" w:color="auto" w:fill="DAEEF3" w:themeFill="accent5" w:themeFillTint="33"/>
          <w:lang w:eastAsia="en-GB"/>
        </w:rPr>
        <mc:AlternateContent>
          <mc:Choice Requires="wps">
            <w:drawing>
              <wp:anchor distT="0" distB="0" distL="114300" distR="114300" simplePos="0" relativeHeight="251665920" behindDoc="0" locked="0" layoutInCell="1" allowOverlap="1">
                <wp:simplePos x="0" y="0"/>
                <wp:positionH relativeFrom="column">
                  <wp:posOffset>81887</wp:posOffset>
                </wp:positionH>
                <wp:positionV relativeFrom="paragraph">
                  <wp:posOffset>225188</wp:posOffset>
                </wp:positionV>
                <wp:extent cx="5595582" cy="3855256"/>
                <wp:effectExtent l="0" t="0" r="24765" b="12065"/>
                <wp:wrapNone/>
                <wp:docPr id="12" name="Rectangle 12"/>
                <wp:cNvGraphicFramePr/>
                <a:graphic xmlns:a="http://schemas.openxmlformats.org/drawingml/2006/main">
                  <a:graphicData uri="http://schemas.microsoft.com/office/word/2010/wordprocessingShape">
                    <wps:wsp>
                      <wps:cNvSpPr/>
                      <wps:spPr>
                        <a:xfrm>
                          <a:off x="0" y="0"/>
                          <a:ext cx="5595582" cy="3855256"/>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FEDB3" id="Rectangle 12" o:spid="_x0000_s1026" style="position:absolute;margin-left:6.45pt;margin-top:17.75pt;width:440.6pt;height:303.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" filled="f" strokecolor="#243f60 [1604]" strokeweight=".5pt"/>
            </w:pict>
          </mc:Fallback>
        </mc:AlternateContent>
      </w:r>
      <w:r w:rsidR="006F1C63">
        <w:rPr>
          <w:b/>
          <w:shd w:val="clear" w:color="auto" w:fill="DAEEF3" w:themeFill="accent5" w:themeFillTint="33"/>
        </w:rPr>
        <w:t xml:space="preserve">Revised </w:t>
      </w:r>
      <w:r w:rsidRPr="00790B05">
        <w:rPr>
          <w:b/>
          <w:shd w:val="clear" w:color="auto" w:fill="DAEEF3" w:themeFill="accent5" w:themeFillTint="33"/>
        </w:rPr>
        <w:t>WIN/Careerpilot Model</w:t>
      </w:r>
      <w:r w:rsidR="006F1C63">
        <w:rPr>
          <w:b/>
          <w:shd w:val="clear" w:color="auto" w:fill="DAEEF3" w:themeFill="accent5" w:themeFillTint="33"/>
        </w:rPr>
        <w:t>:</w:t>
      </w:r>
      <w:r w:rsidRPr="00790B05">
        <w:rPr>
          <w:b/>
          <w:shd w:val="clear" w:color="auto" w:fill="DAEEF3" w:themeFill="accent5" w:themeFillTint="33"/>
        </w:rPr>
        <w:t xml:space="preserve"> 2018-19</w:t>
      </w:r>
    </w:p>
    <w:p w:rsidR="005C0B53" w:rsidRPr="005C0B53" w:rsidRDefault="005C0B53" w:rsidP="00DE4BBA">
      <w:pPr>
        <w:shd w:val="clear" w:color="auto" w:fill="FABF8F" w:themeFill="accent6" w:themeFillTint="99"/>
        <w:ind w:left="426" w:right="970"/>
        <w:rPr>
          <w:b/>
        </w:rPr>
      </w:pPr>
      <w:r w:rsidRPr="005C0B53">
        <w:rPr>
          <w:b/>
        </w:rPr>
        <w:t>Pre-guidance session:</w:t>
      </w:r>
    </w:p>
    <w:p w:rsidR="006F1C63" w:rsidRDefault="005C0B53" w:rsidP="006F1C63">
      <w:pPr>
        <w:ind w:left="426" w:right="970"/>
      </w:pPr>
      <w:r>
        <w:t xml:space="preserve">WIN Higher Education Advisers (HEAs) in WIN schools meet with WIN students to get them registered on Careerpilot and complete specific Career Tool tasks on the site. </w:t>
      </w:r>
      <w:r w:rsidR="00E270BB">
        <w:t>The HEA writes a short comment on the Careerpilot Reporting Zone about the individual student (visible to the student through their Careerpilot account)</w:t>
      </w:r>
      <w:r w:rsidR="00E754E9">
        <w:t>.</w:t>
      </w:r>
    </w:p>
    <w:p w:rsidR="005C0B53" w:rsidRPr="005C0B53" w:rsidRDefault="005C0B53" w:rsidP="00DE4BBA">
      <w:pPr>
        <w:shd w:val="clear" w:color="auto" w:fill="E5B8B7" w:themeFill="accent2" w:themeFillTint="66"/>
        <w:ind w:left="426" w:right="970"/>
        <w:rPr>
          <w:b/>
        </w:rPr>
      </w:pPr>
      <w:r w:rsidRPr="005C0B53">
        <w:rPr>
          <w:b/>
        </w:rPr>
        <w:t>Guidance session:</w:t>
      </w:r>
    </w:p>
    <w:p w:rsidR="00790B05" w:rsidRDefault="005C0B53" w:rsidP="006F1C63">
      <w:pPr>
        <w:ind w:left="426" w:right="970"/>
      </w:pPr>
      <w:r>
        <w:t>A level 6/7 qualified adviser meets with the student for one hour (one-to-one in Y11-13, in pairs for Y10) and</w:t>
      </w:r>
      <w:r w:rsidR="00E270BB">
        <w:t>,</w:t>
      </w:r>
      <w:r>
        <w:t xml:space="preserve"> building on the information from the pre-guidance session</w:t>
      </w:r>
      <w:r w:rsidR="00E270BB">
        <w:t>,</w:t>
      </w:r>
      <w:r>
        <w:t xml:space="preserve"> provides personal careers guidance and supports the students in using other key Career Tool tasks</w:t>
      </w:r>
      <w:r w:rsidR="00E754E9">
        <w:t>.</w:t>
      </w:r>
      <w:r>
        <w:t xml:space="preserve"> e.g. choosing jobs/courses, completing the Skills Map an</w:t>
      </w:r>
      <w:r w:rsidR="00E754E9">
        <w:t xml:space="preserve">d Next Steps Quiz. The adviser </w:t>
      </w:r>
      <w:r>
        <w:t>writes a report on Careerpilot, which includes actions agreed with the student.</w:t>
      </w:r>
    </w:p>
    <w:p w:rsidR="005C0B53" w:rsidRPr="005C0B53" w:rsidRDefault="005C0B53" w:rsidP="00DE4BBA">
      <w:pPr>
        <w:shd w:val="clear" w:color="auto" w:fill="D6E3BC" w:themeFill="accent3" w:themeFillTint="66"/>
        <w:ind w:left="426" w:right="970"/>
        <w:rPr>
          <w:b/>
        </w:rPr>
      </w:pPr>
      <w:r w:rsidRPr="005C0B53">
        <w:rPr>
          <w:b/>
        </w:rPr>
        <w:t>Follow-up:</w:t>
      </w:r>
      <w:r w:rsidR="00790B05" w:rsidRPr="00790B05">
        <w:rPr>
          <w:b/>
          <w:noProof/>
          <w:lang w:eastAsia="en-GB"/>
        </w:rPr>
        <w:t xml:space="preserve"> </w:t>
      </w:r>
    </w:p>
    <w:p w:rsidR="005C0B53" w:rsidRDefault="005C0B53" w:rsidP="00DE4BBA">
      <w:pPr>
        <w:ind w:left="426" w:right="970"/>
      </w:pPr>
      <w:r>
        <w:t xml:space="preserve">The HEA provides one-to-one support </w:t>
      </w:r>
      <w:r w:rsidR="00E754E9">
        <w:t>to the student</w:t>
      </w:r>
      <w:r>
        <w:t>, helping them to meet actions, adapt plans and in requesting further guidance suppo</w:t>
      </w:r>
      <w:r w:rsidR="00E270BB">
        <w:t>rt, if required</w:t>
      </w:r>
      <w:r w:rsidR="00E754E9">
        <w:t xml:space="preserve">. HEA records </w:t>
      </w:r>
      <w:r w:rsidR="00E270BB">
        <w:t>comments on Careerpilot.</w:t>
      </w:r>
    </w:p>
    <w:p w:rsidR="00790B05" w:rsidRDefault="00790B05" w:rsidP="00DE4BBA">
      <w:pPr>
        <w:ind w:left="426" w:right="970"/>
      </w:pPr>
    </w:p>
    <w:p w:rsidR="00E731B4" w:rsidRPr="008E7B5F" w:rsidRDefault="00E731B4" w:rsidP="00452F7D">
      <w:pPr>
        <w:shd w:val="clear" w:color="auto" w:fill="DAEEF3" w:themeFill="accent5" w:themeFillTint="33"/>
        <w:rPr>
          <w:b/>
        </w:rPr>
      </w:pPr>
      <w:r w:rsidRPr="008E7B5F">
        <w:rPr>
          <w:b/>
        </w:rPr>
        <w:t>Sessions delivered to date</w:t>
      </w:r>
      <w:r w:rsidR="00E754E9">
        <w:rPr>
          <w:b/>
        </w:rPr>
        <w:t xml:space="preserve"> (February 2019</w:t>
      </w:r>
      <w:r w:rsidR="00E270BB">
        <w:rPr>
          <w:b/>
        </w:rPr>
        <w:t>)</w:t>
      </w:r>
      <w:r w:rsidRPr="008E7B5F">
        <w:rPr>
          <w:b/>
        </w:rPr>
        <w:t>:</w:t>
      </w:r>
    </w:p>
    <w:p w:rsidR="00B918A6" w:rsidRDefault="00B71AC8">
      <w:r>
        <w:t xml:space="preserve">Between September </w:t>
      </w:r>
      <w:r w:rsidR="00E270BB">
        <w:t>2018</w:t>
      </w:r>
      <w:r w:rsidR="006F36B8">
        <w:t xml:space="preserve"> </w:t>
      </w:r>
      <w:r>
        <w:t xml:space="preserve">and </w:t>
      </w:r>
      <w:r w:rsidR="00E270BB">
        <w:t>Feb 1</w:t>
      </w:r>
      <w:r w:rsidR="00E270BB" w:rsidRPr="00E270BB">
        <w:rPr>
          <w:vertAlign w:val="superscript"/>
        </w:rPr>
        <w:t>st</w:t>
      </w:r>
      <w:r w:rsidR="00E270BB">
        <w:t xml:space="preserve"> 2019</w:t>
      </w:r>
      <w:r>
        <w:t xml:space="preserve"> the Careerpilot Team </w:t>
      </w:r>
      <w:r w:rsidR="00E754E9">
        <w:t xml:space="preserve">has worked </w:t>
      </w:r>
      <w:r w:rsidR="00E270BB">
        <w:t>with 12</w:t>
      </w:r>
      <w:r w:rsidR="006F36B8">
        <w:t xml:space="preserve"> </w:t>
      </w:r>
      <w:r w:rsidR="00896EB4">
        <w:t xml:space="preserve">engaged WIN schools </w:t>
      </w:r>
      <w:r w:rsidR="00E270BB">
        <w:t xml:space="preserve">(9 in 2017-18) </w:t>
      </w:r>
      <w:r w:rsidR="00896EB4">
        <w:t>and</w:t>
      </w:r>
      <w:r w:rsidR="006F36B8">
        <w:t xml:space="preserve"> </w:t>
      </w:r>
      <w:r w:rsidR="00E270BB">
        <w:t xml:space="preserve">has </w:t>
      </w:r>
      <w:r>
        <w:t xml:space="preserve">delivered </w:t>
      </w:r>
      <w:r w:rsidR="00B918A6">
        <w:t>one hour Careerpilot session</w:t>
      </w:r>
      <w:r w:rsidR="00F7398E">
        <w:t>s</w:t>
      </w:r>
      <w:r w:rsidR="00B918A6">
        <w:t xml:space="preserve"> with </w:t>
      </w:r>
      <w:r w:rsidR="00E270BB">
        <w:t>298</w:t>
      </w:r>
      <w:r w:rsidR="00B918A6" w:rsidRPr="006D707E">
        <w:t xml:space="preserve"> students</w:t>
      </w:r>
      <w:r w:rsidR="008E7B5F">
        <w:t>,</w:t>
      </w:r>
      <w:r w:rsidR="00B918A6">
        <w:t xml:space="preserve"> as follows:</w:t>
      </w:r>
    </w:p>
    <w:p w:rsidR="00B918A6" w:rsidRDefault="00B918A6" w:rsidP="00B71AC8">
      <w:pPr>
        <w:pStyle w:val="ListParagraph"/>
        <w:numPr>
          <w:ilvl w:val="0"/>
          <w:numId w:val="1"/>
        </w:numPr>
      </w:pPr>
      <w:r>
        <w:t xml:space="preserve">Year </w:t>
      </w:r>
      <w:r w:rsidR="00E270BB">
        <w:t>10: 105</w:t>
      </w:r>
      <w:r w:rsidR="00604485">
        <w:t xml:space="preserve"> sessions in pairs</w:t>
      </w:r>
    </w:p>
    <w:p w:rsidR="00B918A6" w:rsidRDefault="00E270BB" w:rsidP="00B71AC8">
      <w:pPr>
        <w:pStyle w:val="ListParagraph"/>
        <w:numPr>
          <w:ilvl w:val="0"/>
          <w:numId w:val="1"/>
        </w:numPr>
      </w:pPr>
      <w:r>
        <w:t>Year 11: 116</w:t>
      </w:r>
      <w:r w:rsidR="00B918A6">
        <w:t xml:space="preserve"> one to one sessions</w:t>
      </w:r>
    </w:p>
    <w:p w:rsidR="00B918A6" w:rsidRDefault="00E270BB" w:rsidP="00B71AC8">
      <w:pPr>
        <w:pStyle w:val="ListParagraph"/>
        <w:numPr>
          <w:ilvl w:val="0"/>
          <w:numId w:val="1"/>
        </w:numPr>
      </w:pPr>
      <w:r>
        <w:t>Year 12: 16</w:t>
      </w:r>
      <w:r w:rsidR="00604485">
        <w:t xml:space="preserve"> </w:t>
      </w:r>
      <w:r w:rsidR="00B918A6">
        <w:t>one to one sessions</w:t>
      </w:r>
      <w:r>
        <w:t xml:space="preserve"> (most Y12 work takes place February onwards)</w:t>
      </w:r>
    </w:p>
    <w:p w:rsidR="00B918A6" w:rsidRDefault="00E270BB" w:rsidP="00B71AC8">
      <w:pPr>
        <w:pStyle w:val="ListParagraph"/>
        <w:numPr>
          <w:ilvl w:val="0"/>
          <w:numId w:val="1"/>
        </w:numPr>
      </w:pPr>
      <w:r>
        <w:t>Year 13: 53</w:t>
      </w:r>
      <w:r w:rsidR="00B918A6">
        <w:t xml:space="preserve"> one to one sessions</w:t>
      </w:r>
    </w:p>
    <w:p w:rsidR="00B71AC8" w:rsidRDefault="00B71AC8" w:rsidP="00B71AC8">
      <w:pPr>
        <w:pStyle w:val="ListParagraph"/>
      </w:pPr>
    </w:p>
    <w:p w:rsidR="00B71AC8" w:rsidRDefault="00B71AC8" w:rsidP="00B71AC8">
      <w:pPr>
        <w:pStyle w:val="ListParagraph"/>
        <w:ind w:left="0"/>
      </w:pPr>
      <w:r w:rsidRPr="00CF0D9A">
        <w:t xml:space="preserve">The team also delivered </w:t>
      </w:r>
      <w:r w:rsidR="00C24044" w:rsidRPr="00CF0D9A">
        <w:t>5</w:t>
      </w:r>
      <w:r w:rsidRPr="00CF0D9A">
        <w:t xml:space="preserve"> days of Careerpilot </w:t>
      </w:r>
      <w:r w:rsidR="00AF41F3" w:rsidRPr="00CF0D9A">
        <w:t>workshop sessions</w:t>
      </w:r>
      <w:r w:rsidR="00E270BB" w:rsidRPr="00CF0D9A">
        <w:t xml:space="preserve"> with whole year groups</w:t>
      </w:r>
      <w:r w:rsidR="00CF0D9A">
        <w:t xml:space="preserve"> in schools</w:t>
      </w:r>
      <w:r w:rsidR="00E270BB" w:rsidRPr="00CF0D9A">
        <w:t>.</w:t>
      </w:r>
    </w:p>
    <w:p w:rsidR="00CF0D9A" w:rsidRDefault="00CF0D9A" w:rsidP="00B71AC8">
      <w:pPr>
        <w:pStyle w:val="ListParagraph"/>
        <w:ind w:left="0"/>
      </w:pPr>
      <w:r>
        <w:t>In colleges, 21 groups received Careerpilot workshop sessions.</w:t>
      </w:r>
    </w:p>
    <w:p w:rsidR="00E270BB" w:rsidRDefault="00E270BB" w:rsidP="00B71AC8">
      <w:pPr>
        <w:pStyle w:val="ListParagraph"/>
        <w:ind w:left="0"/>
      </w:pPr>
    </w:p>
    <w:p w:rsidR="00E270BB" w:rsidRPr="00A42C9F" w:rsidRDefault="00E270BB" w:rsidP="00A42C9F">
      <w:pPr>
        <w:pStyle w:val="ListParagraph"/>
        <w:shd w:val="clear" w:color="auto" w:fill="DAEEF3" w:themeFill="accent5" w:themeFillTint="33"/>
        <w:ind w:left="0"/>
        <w:rPr>
          <w:b/>
        </w:rPr>
      </w:pPr>
      <w:r w:rsidRPr="00A42C9F">
        <w:rPr>
          <w:b/>
        </w:rPr>
        <w:t>Research project</w:t>
      </w:r>
    </w:p>
    <w:p w:rsidR="00E270BB" w:rsidRDefault="00E270BB" w:rsidP="00B71AC8">
      <w:pPr>
        <w:pStyle w:val="ListParagraph"/>
        <w:ind w:left="0"/>
      </w:pPr>
    </w:p>
    <w:p w:rsidR="00E270BB" w:rsidRDefault="00E270BB" w:rsidP="00B71AC8">
      <w:pPr>
        <w:pStyle w:val="ListParagraph"/>
        <w:ind w:left="0"/>
      </w:pPr>
      <w:r>
        <w:t>To more robustly evaluate the impact of the Careerpilot WIN mode</w:t>
      </w:r>
      <w:r w:rsidR="00772A79">
        <w:t>l</w:t>
      </w:r>
      <w:r w:rsidR="00E754E9">
        <w:t>,</w:t>
      </w:r>
      <w:r w:rsidR="00772A79">
        <w:t xml:space="preserve"> in 2019-20 Alison Rouncefield-Swales is conducting a research project with WIN students who have received Careerpilot guidance.</w:t>
      </w:r>
    </w:p>
    <w:p w:rsidR="00772A79" w:rsidRDefault="00772A79" w:rsidP="00B71AC8">
      <w:pPr>
        <w:pStyle w:val="ListParagraph"/>
        <w:ind w:left="0"/>
      </w:pPr>
      <w:r>
        <w:t xml:space="preserve">The research has </w:t>
      </w:r>
      <w:r w:rsidR="00DE4BBA">
        <w:t>four</w:t>
      </w:r>
      <w:r>
        <w:t xml:space="preserve"> </w:t>
      </w:r>
      <w:r w:rsidR="00DE4BBA">
        <w:t>stages</w:t>
      </w:r>
      <w:r>
        <w:t>:</w:t>
      </w:r>
    </w:p>
    <w:p w:rsidR="00772A79" w:rsidRDefault="00772A79" w:rsidP="003B6B49">
      <w:pPr>
        <w:pStyle w:val="ListParagraph"/>
        <w:numPr>
          <w:ilvl w:val="0"/>
          <w:numId w:val="12"/>
        </w:numPr>
      </w:pPr>
      <w:r>
        <w:t>Baseline Careerpilot guidance survey</w:t>
      </w:r>
      <w:r w:rsidR="00E754E9">
        <w:t>:</w:t>
      </w:r>
      <w:r>
        <w:t xml:space="preserve"> completed after guidance which includes an option for students to opt in to a follow-up survey.</w:t>
      </w:r>
    </w:p>
    <w:p w:rsidR="00772A79" w:rsidRDefault="00B976D2" w:rsidP="003B6B49">
      <w:pPr>
        <w:pStyle w:val="ListParagraph"/>
        <w:numPr>
          <w:ilvl w:val="0"/>
          <w:numId w:val="12"/>
        </w:numPr>
      </w:pPr>
      <w:r>
        <w:t>Follow-up survey – early March 2019.</w:t>
      </w:r>
    </w:p>
    <w:p w:rsidR="00772A79" w:rsidRDefault="00772A79" w:rsidP="003B6B49">
      <w:pPr>
        <w:pStyle w:val="ListParagraph"/>
        <w:numPr>
          <w:ilvl w:val="0"/>
          <w:numId w:val="12"/>
        </w:numPr>
      </w:pPr>
      <w:r>
        <w:t>Focus group sessions with students of different ages, school staff and HEAs</w:t>
      </w:r>
      <w:r w:rsidR="00B976D2">
        <w:t xml:space="preserve"> – late March 2019</w:t>
      </w:r>
      <w:r>
        <w:t>.</w:t>
      </w:r>
    </w:p>
    <w:p w:rsidR="00DE4BBA" w:rsidRDefault="00DE4BBA" w:rsidP="003B6B49">
      <w:pPr>
        <w:pStyle w:val="ListParagraph"/>
        <w:numPr>
          <w:ilvl w:val="0"/>
          <w:numId w:val="12"/>
        </w:numPr>
      </w:pPr>
      <w:r>
        <w:lastRenderedPageBreak/>
        <w:t>Final report and executive summary</w:t>
      </w:r>
      <w:r w:rsidR="00B976D2">
        <w:t xml:space="preserve"> – June 2019</w:t>
      </w:r>
      <w:r>
        <w:t>.</w:t>
      </w:r>
    </w:p>
    <w:p w:rsidR="00B71AC8" w:rsidRDefault="00B71AC8" w:rsidP="00B71AC8">
      <w:pPr>
        <w:pStyle w:val="ListParagraph"/>
        <w:ind w:left="0"/>
      </w:pPr>
    </w:p>
    <w:p w:rsidR="00F7398E" w:rsidRPr="00E731B4" w:rsidRDefault="00DE4BBA" w:rsidP="00452F7D">
      <w:pPr>
        <w:pStyle w:val="ListParagraph"/>
        <w:shd w:val="clear" w:color="auto" w:fill="DAEEF3" w:themeFill="accent5" w:themeFillTint="33"/>
        <w:ind w:left="0"/>
        <w:rPr>
          <w:b/>
          <w:sz w:val="24"/>
          <w:szCs w:val="24"/>
        </w:rPr>
      </w:pPr>
      <w:bookmarkStart w:id="0" w:name="_GoBack"/>
      <w:r>
        <w:rPr>
          <w:b/>
          <w:sz w:val="24"/>
          <w:szCs w:val="24"/>
        </w:rPr>
        <w:t xml:space="preserve">Feedback from 128 students completing Careerpilot/WIN baseline survey </w:t>
      </w:r>
      <w:r w:rsidR="003B6B49">
        <w:rPr>
          <w:b/>
          <w:sz w:val="24"/>
          <w:szCs w:val="24"/>
        </w:rPr>
        <w:t xml:space="preserve">to date </w:t>
      </w:r>
      <w:r>
        <w:rPr>
          <w:b/>
          <w:sz w:val="24"/>
          <w:szCs w:val="24"/>
        </w:rPr>
        <w:t>shows:</w:t>
      </w:r>
    </w:p>
    <w:p w:rsidR="00DE4BBA" w:rsidRPr="00DE4BBA" w:rsidRDefault="00DE4BBA" w:rsidP="00E731B4">
      <w:r w:rsidRPr="00DE4BBA">
        <w:t>71% said they had no close relative who had been to university (</w:t>
      </w:r>
      <w:r w:rsidR="00E754E9">
        <w:t xml:space="preserve">A Careerpilot survey with more than 2000 general </w:t>
      </w:r>
      <w:r w:rsidR="00BC371E">
        <w:t>user’s</w:t>
      </w:r>
      <w:r w:rsidRPr="00DE4BBA">
        <w:t xml:space="preserve"> shows 30%).</w:t>
      </w:r>
    </w:p>
    <w:p w:rsidR="00DE4BBA" w:rsidRDefault="00DE4BBA" w:rsidP="00E731B4">
      <w:r w:rsidRPr="00DE4BBA">
        <w:t xml:space="preserve">59% of those surveyed said at </w:t>
      </w:r>
      <w:r w:rsidR="00E754E9">
        <w:t xml:space="preserve">age </w:t>
      </w:r>
      <w:r w:rsidRPr="00DE4BBA">
        <w:t>18 they were considering a university leve</w:t>
      </w:r>
      <w:r>
        <w:t>l course, 35% said an apprenticesh</w:t>
      </w:r>
      <w:r w:rsidR="00E754E9">
        <w:t>ip and 31% said college (they could choose more than one option).</w:t>
      </w:r>
    </w:p>
    <w:p w:rsidR="00DE4BBA" w:rsidRDefault="00DE4BBA" w:rsidP="00E731B4">
      <w:r>
        <w:t xml:space="preserve">96% of students surveyed said they </w:t>
      </w:r>
      <w:r w:rsidR="001728FF">
        <w:t xml:space="preserve">had had a previous Careerpilot guidance activity </w:t>
      </w:r>
      <w:r w:rsidR="00E754E9">
        <w:t xml:space="preserve">within the past year </w:t>
      </w:r>
      <w:r w:rsidR="001728FF">
        <w:t>through either small group, one-to-one or follow-up sessions.</w:t>
      </w:r>
    </w:p>
    <w:p w:rsidR="001728FF" w:rsidRPr="00B6483C" w:rsidRDefault="001728FF" w:rsidP="00E731B4">
      <w:pPr>
        <w:rPr>
          <w:b/>
        </w:rPr>
      </w:pPr>
      <w:r w:rsidRPr="00B6483C">
        <w:rPr>
          <w:b/>
        </w:rPr>
        <w:t>Asked ‘How useful did you find the Careerpilot activities?’ the following scored most highly:</w:t>
      </w:r>
    </w:p>
    <w:p w:rsidR="001728FF" w:rsidRDefault="001728FF" w:rsidP="004E7B0C">
      <w:pPr>
        <w:pStyle w:val="ListParagraph"/>
        <w:numPr>
          <w:ilvl w:val="0"/>
          <w:numId w:val="17"/>
        </w:numPr>
      </w:pPr>
      <w:r>
        <w:t>Job profiles/job sectors</w:t>
      </w:r>
    </w:p>
    <w:p w:rsidR="001728FF" w:rsidRDefault="001728FF" w:rsidP="001728FF">
      <w:pPr>
        <w:pStyle w:val="ListParagraph"/>
        <w:numPr>
          <w:ilvl w:val="0"/>
          <w:numId w:val="9"/>
        </w:numPr>
      </w:pPr>
      <w:r>
        <w:t>Having a Careerpilot account and report</w:t>
      </w:r>
      <w:r w:rsidR="00E754E9">
        <w:t xml:space="preserve"> that I can look up and update</w:t>
      </w:r>
    </w:p>
    <w:p w:rsidR="001728FF" w:rsidRDefault="001728FF" w:rsidP="001728FF">
      <w:pPr>
        <w:pStyle w:val="ListParagraph"/>
        <w:numPr>
          <w:ilvl w:val="0"/>
          <w:numId w:val="9"/>
        </w:numPr>
      </w:pPr>
      <w:r>
        <w:t>The information sections</w:t>
      </w:r>
    </w:p>
    <w:p w:rsidR="001728FF" w:rsidRDefault="001728FF" w:rsidP="001728FF">
      <w:pPr>
        <w:pStyle w:val="ListParagraph"/>
        <w:numPr>
          <w:ilvl w:val="0"/>
          <w:numId w:val="9"/>
        </w:numPr>
      </w:pPr>
      <w:r>
        <w:t>Being able to bookmarks things I liked.</w:t>
      </w:r>
    </w:p>
    <w:p w:rsidR="001728FF" w:rsidRPr="00B6483C" w:rsidRDefault="001728FF" w:rsidP="001728FF">
      <w:pPr>
        <w:rPr>
          <w:b/>
        </w:rPr>
      </w:pPr>
      <w:r w:rsidRPr="00B6483C">
        <w:rPr>
          <w:b/>
        </w:rPr>
        <w:t xml:space="preserve">Asked ‘How much did you learn from the Careerpilot information?’ the following scored </w:t>
      </w:r>
      <w:r w:rsidR="00482442">
        <w:rPr>
          <w:b/>
        </w:rPr>
        <w:t xml:space="preserve">either ‘a </w:t>
      </w:r>
      <w:r w:rsidR="00D24065" w:rsidRPr="00B6483C">
        <w:rPr>
          <w:b/>
        </w:rPr>
        <w:t>lot</w:t>
      </w:r>
      <w:r w:rsidR="00482442">
        <w:rPr>
          <w:b/>
        </w:rPr>
        <w:t>’</w:t>
      </w:r>
      <w:r w:rsidR="00D24065" w:rsidRPr="00B6483C">
        <w:rPr>
          <w:b/>
        </w:rPr>
        <w:t xml:space="preserve"> or </w:t>
      </w:r>
      <w:r w:rsidR="00482442">
        <w:rPr>
          <w:b/>
        </w:rPr>
        <w:t>‘</w:t>
      </w:r>
      <w:r w:rsidR="00D24065" w:rsidRPr="00B6483C">
        <w:rPr>
          <w:b/>
        </w:rPr>
        <w:t>some new information’</w:t>
      </w:r>
      <w:r w:rsidRPr="00B6483C">
        <w:rPr>
          <w:b/>
        </w:rPr>
        <w:t>:</w:t>
      </w:r>
    </w:p>
    <w:p w:rsidR="001728FF" w:rsidRDefault="001728FF" w:rsidP="00D24065">
      <w:pPr>
        <w:pStyle w:val="ListParagraph"/>
        <w:numPr>
          <w:ilvl w:val="0"/>
          <w:numId w:val="10"/>
        </w:numPr>
      </w:pPr>
      <w:r>
        <w:t xml:space="preserve">About different qualifications I could study </w:t>
      </w:r>
      <w:r w:rsidR="00D24065">
        <w:t>– 98%</w:t>
      </w:r>
      <w:r>
        <w:t>;</w:t>
      </w:r>
    </w:p>
    <w:p w:rsidR="00D24065" w:rsidRDefault="00D24065" w:rsidP="00D24065">
      <w:pPr>
        <w:pStyle w:val="ListParagraph"/>
        <w:numPr>
          <w:ilvl w:val="0"/>
          <w:numId w:val="10"/>
        </w:numPr>
      </w:pPr>
      <w:r>
        <w:t>About jobs and job sectors I might be interested in – 96%</w:t>
      </w:r>
    </w:p>
    <w:p w:rsidR="00D24065" w:rsidRDefault="00D24065" w:rsidP="00D24065">
      <w:pPr>
        <w:pStyle w:val="ListParagraph"/>
        <w:numPr>
          <w:ilvl w:val="0"/>
          <w:numId w:val="10"/>
        </w:numPr>
      </w:pPr>
      <w:r>
        <w:t>About different providers – 93%</w:t>
      </w:r>
    </w:p>
    <w:p w:rsidR="00D24065" w:rsidRDefault="00D24065" w:rsidP="00D24065">
      <w:pPr>
        <w:pStyle w:val="ListParagraph"/>
        <w:numPr>
          <w:ilvl w:val="0"/>
          <w:numId w:val="10"/>
        </w:numPr>
      </w:pPr>
      <w:r>
        <w:t>About the range of HE opportunities – 91%</w:t>
      </w:r>
    </w:p>
    <w:bookmarkEnd w:id="0"/>
    <w:p w:rsidR="00D24065" w:rsidRPr="00B6483C" w:rsidRDefault="00D24065" w:rsidP="00D24065">
      <w:pPr>
        <w:rPr>
          <w:b/>
        </w:rPr>
      </w:pPr>
      <w:r w:rsidRPr="00B6483C">
        <w:rPr>
          <w:b/>
        </w:rPr>
        <w:t>Asked to agree or disagree with statements about the session with the guidance adviser, the students agreed or agreed strongly, as follows:</w:t>
      </w:r>
    </w:p>
    <w:p w:rsidR="00D24065" w:rsidRDefault="00D24065" w:rsidP="00B6483C">
      <w:pPr>
        <w:pStyle w:val="ListParagraph"/>
        <w:numPr>
          <w:ilvl w:val="0"/>
          <w:numId w:val="11"/>
        </w:numPr>
      </w:pPr>
      <w:r>
        <w:t>It helped me explore a range of choices available to me – 97%</w:t>
      </w:r>
    </w:p>
    <w:p w:rsidR="00E754E9" w:rsidRDefault="00E754E9" w:rsidP="00E754E9">
      <w:pPr>
        <w:pStyle w:val="ListParagraph"/>
        <w:numPr>
          <w:ilvl w:val="0"/>
          <w:numId w:val="11"/>
        </w:numPr>
      </w:pPr>
      <w:r>
        <w:t>The session was tailored to meet my needs and aspirations – 96%</w:t>
      </w:r>
    </w:p>
    <w:p w:rsidR="00E754E9" w:rsidRDefault="00E754E9" w:rsidP="00E754E9">
      <w:pPr>
        <w:pStyle w:val="ListParagraph"/>
        <w:numPr>
          <w:ilvl w:val="0"/>
          <w:numId w:val="11"/>
        </w:numPr>
      </w:pPr>
      <w:r>
        <w:t>I feel better informed about my future options – 96%</w:t>
      </w:r>
      <w:r w:rsidRPr="00E754E9">
        <w:t xml:space="preserve"> </w:t>
      </w:r>
    </w:p>
    <w:p w:rsidR="00E754E9" w:rsidRDefault="00B06F8E" w:rsidP="00E754E9">
      <w:pPr>
        <w:pStyle w:val="ListParagraph"/>
        <w:numPr>
          <w:ilvl w:val="0"/>
          <w:numId w:val="11"/>
        </w:num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4124169</wp:posOffset>
                </wp:positionH>
                <wp:positionV relativeFrom="paragraph">
                  <wp:posOffset>207525</wp:posOffset>
                </wp:positionV>
                <wp:extent cx="1950720" cy="2190115"/>
                <wp:effectExtent l="0" t="0" r="11430" b="172085"/>
                <wp:wrapSquare wrapText="bothSides"/>
                <wp:docPr id="4" name="Rounded Rectangular Callout 4"/>
                <wp:cNvGraphicFramePr/>
                <a:graphic xmlns:a="http://schemas.openxmlformats.org/drawingml/2006/main">
                  <a:graphicData uri="http://schemas.microsoft.com/office/word/2010/wordprocessingShape">
                    <wps:wsp>
                      <wps:cNvSpPr/>
                      <wps:spPr>
                        <a:xfrm>
                          <a:off x="0" y="0"/>
                          <a:ext cx="1950720" cy="2190115"/>
                        </a:xfrm>
                        <a:prstGeom prst="wedgeRoundRectCallout">
                          <a:avLst>
                            <a:gd name="adj1" fmla="val 245"/>
                            <a:gd name="adj2" fmla="val 56268"/>
                            <a:gd name="adj3" fmla="val 16667"/>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F8E" w:rsidRPr="00B6483C" w:rsidRDefault="00B06F8E" w:rsidP="00E12054">
                            <w:pPr>
                              <w:shd w:val="clear" w:color="auto" w:fill="FDE9D9" w:themeFill="accent6" w:themeFillTint="33"/>
                              <w:jc w:val="center"/>
                              <w:rPr>
                                <w:color w:val="215868" w:themeColor="accent5" w:themeShade="80"/>
                              </w:rPr>
                            </w:pPr>
                            <w:r w:rsidRPr="00B6483C">
                              <w:rPr>
                                <w:color w:val="215868" w:themeColor="accent5" w:themeShade="80"/>
                              </w:rPr>
                              <w:t>“</w:t>
                            </w:r>
                            <w:r>
                              <w:rPr>
                                <w:rFonts w:ascii="Helvetica Neue" w:hAnsi="Helvetica Neue"/>
                                <w:color w:val="333E48"/>
                                <w:sz w:val="20"/>
                                <w:szCs w:val="20"/>
                                <w:shd w:val="clear" w:color="auto" w:fill="F4F5F5"/>
                              </w:rPr>
                              <w:t>I would highly recommend (the Careerpilot session) as it helps significantly to have a focused session to gain a better understanding of what you want to do next and the steps you will take to achieve them without the feeling of being overwhelmed with all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9" type="#_x0000_t62" style="position:absolute;left:0;text-align:left;margin-left:324.75pt;margin-top:16.35pt;width:153.6pt;height:17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" adj="10853,22954" fillcolor="#fde9d9 [665]" strokecolor="#fabf8f [1945]" strokeweight="2pt">
                <v:textbox>
                  <w:txbxContent>
                    <w:p w:rsidR="00B06F8E" w:rsidRPr="00B6483C" w:rsidRDefault="00B06F8E" w:rsidP="00E12054">
                      <w:pPr>
                        <w:shd w:val="clear" w:color="auto" w:fill="FDE9D9" w:themeFill="accent6" w:themeFillTint="33"/>
                        <w:jc w:val="center"/>
                        <w:rPr>
                          <w:color w:val="215868" w:themeColor="accent5" w:themeShade="80"/>
                        </w:rPr>
                      </w:pPr>
                      <w:r w:rsidRPr="00B6483C">
                        <w:rPr>
                          <w:color w:val="215868" w:themeColor="accent5" w:themeShade="80"/>
                        </w:rPr>
                        <w:t>“</w:t>
                      </w:r>
                      <w:r>
                        <w:rPr>
                          <w:rFonts w:ascii="Helvetica Neue" w:hAnsi="Helvetica Neue"/>
                          <w:color w:val="333E48"/>
                          <w:sz w:val="20"/>
                          <w:szCs w:val="20"/>
                          <w:shd w:val="clear" w:color="auto" w:fill="F4F5F5"/>
                        </w:rPr>
                        <w:t>I would highly recommend (the Careerpilot session) as it helps significantly to have a focused session to gain a better understanding of what you want to do next and the steps you will take to achieve them without the feeling of being overwhelmed with all the information.”</w:t>
                      </w:r>
                    </w:p>
                  </w:txbxContent>
                </v:textbox>
                <w10:wrap type="square"/>
              </v:shape>
            </w:pict>
          </mc:Fallback>
        </mc:AlternateContent>
      </w:r>
      <w:r w:rsidR="00E754E9">
        <w:t>The adviser understood my needs – 95%</w:t>
      </w:r>
    </w:p>
    <w:p w:rsidR="00D24065" w:rsidRDefault="00D24065" w:rsidP="00B6483C">
      <w:pPr>
        <w:pStyle w:val="ListParagraph"/>
        <w:numPr>
          <w:ilvl w:val="0"/>
          <w:numId w:val="11"/>
        </w:numPr>
      </w:pPr>
      <w:r>
        <w:t xml:space="preserve">It was useful to talk </w:t>
      </w:r>
      <w:r w:rsidR="00B6483C">
        <w:t>to</w:t>
      </w:r>
      <w:r>
        <w:t xml:space="preserve"> someone knowledgeable</w:t>
      </w:r>
      <w:r w:rsidR="00B6483C">
        <w:t xml:space="preserve"> about careers and options – 94%</w:t>
      </w:r>
    </w:p>
    <w:p w:rsidR="00D24065" w:rsidRDefault="00D24065" w:rsidP="00B6483C">
      <w:pPr>
        <w:pStyle w:val="ListParagraph"/>
        <w:numPr>
          <w:ilvl w:val="0"/>
          <w:numId w:val="11"/>
        </w:numPr>
      </w:pPr>
      <w:r>
        <w:t>It was useful to have time to focus on my choices – 93%</w:t>
      </w:r>
    </w:p>
    <w:p w:rsidR="00B6483C" w:rsidRDefault="00B6483C" w:rsidP="00B6483C">
      <w:pPr>
        <w:pStyle w:val="ListParagraph"/>
        <w:numPr>
          <w:ilvl w:val="0"/>
          <w:numId w:val="11"/>
        </w:numPr>
      </w:pPr>
      <w:r>
        <w:t>I learnt new things from the guidance session – 92%</w:t>
      </w:r>
    </w:p>
    <w:p w:rsidR="00DE4BBA" w:rsidRDefault="00B6483C" w:rsidP="00E731B4">
      <w:pPr>
        <w:pStyle w:val="ListParagraph"/>
        <w:numPr>
          <w:ilvl w:val="0"/>
          <w:numId w:val="11"/>
        </w:numPr>
      </w:pPr>
      <w:r>
        <w:t>I feel more optimistic about my future career and options – 93%</w:t>
      </w:r>
      <w:r w:rsidR="00E12054">
        <w:t>.</w:t>
      </w:r>
    </w:p>
    <w:p w:rsidR="006F1C63" w:rsidRDefault="006F1C63" w:rsidP="006F1C63"/>
    <w:p w:rsidR="006F1C63" w:rsidRDefault="006F1C63" w:rsidP="006F1C63"/>
    <w:p w:rsidR="006F1C63" w:rsidRDefault="006F1C63" w:rsidP="006F1C63"/>
    <w:p w:rsidR="006F1C63" w:rsidRDefault="006F1C63" w:rsidP="006F1C63"/>
    <w:p w:rsidR="006F1C63" w:rsidRPr="00E12054" w:rsidRDefault="006F1C63" w:rsidP="006F1C63"/>
    <w:p w:rsidR="00896EB4" w:rsidRDefault="00385802" w:rsidP="003B6B49">
      <w:pPr>
        <w:shd w:val="clear" w:color="auto" w:fill="DAEEF3" w:themeFill="accent5" w:themeFillTint="33"/>
        <w:rPr>
          <w:b/>
        </w:rPr>
      </w:pPr>
      <w:r w:rsidRPr="00385802">
        <w:rPr>
          <w:b/>
        </w:rPr>
        <w:t>Feedback fro</w:t>
      </w:r>
      <w:r w:rsidR="003C111D">
        <w:rPr>
          <w:b/>
        </w:rPr>
        <w:t>m stakeholders</w:t>
      </w:r>
      <w:r w:rsidR="003B6B49">
        <w:rPr>
          <w:b/>
        </w:rPr>
        <w:t xml:space="preserve"> through various surveys show</w:t>
      </w:r>
      <w:r w:rsidR="003C111D">
        <w:rPr>
          <w:b/>
        </w:rPr>
        <w:t>:</w:t>
      </w:r>
    </w:p>
    <w:p w:rsidR="003B6B49" w:rsidRPr="003B6B49" w:rsidRDefault="003B6B49" w:rsidP="00B6483C">
      <w:r w:rsidRPr="003B6B49">
        <w:t>Careerpilot is considered to be one of the WIN activities that has the biggest impact.</w:t>
      </w:r>
    </w:p>
    <w:p w:rsidR="003B6B49" w:rsidRDefault="003B6B49" w:rsidP="00B6483C">
      <w:pPr>
        <w:rPr>
          <w:b/>
        </w:rPr>
      </w:pPr>
      <w:r w:rsidRPr="003B6B49">
        <w:rPr>
          <w:b/>
          <w:noProof/>
          <w:lang w:eastAsia="en-GB"/>
        </w:rPr>
        <w:drawing>
          <wp:inline distT="0" distB="0" distL="0" distR="0" wp14:anchorId="30313AD1" wp14:editId="620B9BD0">
            <wp:extent cx="6106795" cy="3761105"/>
            <wp:effectExtent l="0" t="0" r="825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stretch>
                      <a:fillRect/>
                    </a:stretch>
                  </pic:blipFill>
                  <pic:spPr>
                    <a:xfrm>
                      <a:off x="0" y="0"/>
                      <a:ext cx="6106795" cy="3761105"/>
                    </a:xfrm>
                    <a:prstGeom prst="rect">
                      <a:avLst/>
                    </a:prstGeom>
                  </pic:spPr>
                </pic:pic>
              </a:graphicData>
            </a:graphic>
          </wp:inline>
        </w:drawing>
      </w:r>
    </w:p>
    <w:p w:rsidR="006B52E6" w:rsidRDefault="00F6055C" w:rsidP="00B6483C">
      <w:pPr>
        <w:rPr>
          <w:b/>
        </w:rPr>
      </w:pPr>
      <w:r>
        <w:rPr>
          <w:b/>
        </w:rPr>
        <w:t xml:space="preserve">Quotes from teachers and </w:t>
      </w:r>
      <w:r w:rsidR="00311864">
        <w:rPr>
          <w:b/>
        </w:rPr>
        <w:t>HEAs completing stakeholder sur</w:t>
      </w:r>
      <w:r>
        <w:rPr>
          <w:b/>
        </w:rPr>
        <w:t>veys</w:t>
      </w:r>
      <w:r w:rsidR="003B6B49">
        <w:rPr>
          <w:b/>
        </w:rPr>
        <w:t>:</w:t>
      </w:r>
    </w:p>
    <w:p w:rsidR="003B6B49" w:rsidRPr="006B52E6" w:rsidRDefault="003B6B49" w:rsidP="006B52E6">
      <w:pPr>
        <w:shd w:val="clear" w:color="auto" w:fill="FFFFFF" w:themeFill="background1"/>
        <w:rPr>
          <w:b/>
        </w:rPr>
      </w:pPr>
      <w:r w:rsidRPr="006B52E6">
        <w:rPr>
          <w:rFonts w:ascii="Helvetica Neue" w:hAnsi="Helvetica Neue"/>
          <w:color w:val="333E48"/>
          <w:sz w:val="20"/>
          <w:szCs w:val="20"/>
          <w:shd w:val="clear" w:color="auto" w:fill="F4F5F5"/>
        </w:rPr>
        <w:t>“Students have really valued their 1:1 Careerpilot sessions and the conversations have helped them come to better informed decisions about the directions they want to take in the future. They look forward to the sessions and conversations are ongoing.”</w:t>
      </w:r>
    </w:p>
    <w:p w:rsidR="003B6B49" w:rsidRDefault="003B6B49" w:rsidP="00B6483C">
      <w:pPr>
        <w:rPr>
          <w:rFonts w:ascii="Helvetica Neue" w:hAnsi="Helvetica Neue"/>
          <w:color w:val="333E48"/>
          <w:sz w:val="20"/>
          <w:szCs w:val="20"/>
          <w:shd w:val="clear" w:color="auto" w:fill="F4F5F5"/>
        </w:rPr>
      </w:pPr>
      <w:r w:rsidRPr="006B52E6">
        <w:rPr>
          <w:rFonts w:ascii="Helvetica Neue" w:hAnsi="Helvetica Neue"/>
          <w:color w:val="333E48"/>
          <w:sz w:val="20"/>
          <w:szCs w:val="20"/>
          <w:shd w:val="clear" w:color="auto" w:fill="F4F5F5"/>
        </w:rPr>
        <w:t>“Careerpilot is a fantastic resource to have at your fingertips! It helps you signpost your students quickly to the right information and to reliable resources that can help them to pull together their future options and ideas.”</w:t>
      </w:r>
    </w:p>
    <w:p w:rsidR="00311864" w:rsidRPr="00B06F8E" w:rsidRDefault="00B06F8E" w:rsidP="00B06F8E">
      <w:pPr>
        <w:pStyle w:val="ListParagraph"/>
        <w:shd w:val="clear" w:color="auto" w:fill="DAEEF3" w:themeFill="accent5" w:themeFillTint="33"/>
        <w:ind w:left="0"/>
        <w:rPr>
          <w:b/>
        </w:rPr>
      </w:pPr>
      <w:r>
        <w:rPr>
          <w:b/>
        </w:rPr>
        <w:t xml:space="preserve">From observations and experience through the </w:t>
      </w:r>
      <w:r w:rsidR="00B227AA">
        <w:rPr>
          <w:b/>
        </w:rPr>
        <w:t xml:space="preserve">Careerpilot session we learnt </w:t>
      </w:r>
      <w:r w:rsidR="00452F7D">
        <w:rPr>
          <w:b/>
        </w:rPr>
        <w:t>more about t</w:t>
      </w:r>
      <w:r w:rsidR="00B227AA">
        <w:rPr>
          <w:b/>
        </w:rPr>
        <w:t xml:space="preserve">he </w:t>
      </w:r>
      <w:r w:rsidR="00E731B4">
        <w:rPr>
          <w:b/>
        </w:rPr>
        <w:t xml:space="preserve">barriers </w:t>
      </w:r>
      <w:r w:rsidR="00B71AC8" w:rsidRPr="00B71AC8">
        <w:rPr>
          <w:b/>
        </w:rPr>
        <w:t>NCOP students</w:t>
      </w:r>
      <w:r w:rsidR="00E731B4">
        <w:rPr>
          <w:b/>
        </w:rPr>
        <w:t xml:space="preserve"> face</w:t>
      </w:r>
      <w:r w:rsidR="00B71AC8" w:rsidRPr="00B71AC8">
        <w:rPr>
          <w:b/>
        </w:rPr>
        <w:t>:</w:t>
      </w:r>
    </w:p>
    <w:p w:rsidR="00B71AC8" w:rsidRPr="00311864" w:rsidRDefault="00B06F8E" w:rsidP="006241CE">
      <w:pPr>
        <w:pStyle w:val="ListParagraph"/>
        <w:numPr>
          <w:ilvl w:val="0"/>
          <w:numId w:val="2"/>
        </w:numPr>
      </w:pPr>
      <w:r>
        <w:rPr>
          <w:b/>
        </w:rPr>
        <w:t xml:space="preserve">Some </w:t>
      </w:r>
      <w:r w:rsidR="00B71AC8" w:rsidRPr="00311864">
        <w:rPr>
          <w:b/>
        </w:rPr>
        <w:t>have a financial barrier</w:t>
      </w:r>
      <w:r w:rsidR="00B71AC8" w:rsidRPr="00311864">
        <w:t xml:space="preserve"> such as, </w:t>
      </w:r>
      <w:r w:rsidR="00896EB4" w:rsidRPr="00311864">
        <w:t xml:space="preserve">they </w:t>
      </w:r>
      <w:r w:rsidR="00B71AC8" w:rsidRPr="00311864">
        <w:t xml:space="preserve">can’t afford to attend </w:t>
      </w:r>
      <w:r w:rsidR="00BC371E">
        <w:t xml:space="preserve">open days, pay for UCAS fees, take part in after school clubs, etc. </w:t>
      </w:r>
      <w:r w:rsidR="00B71AC8" w:rsidRPr="00311864">
        <w:t>which will contribute to their progression g</w:t>
      </w:r>
      <w:r w:rsidR="007B538D" w:rsidRPr="00311864">
        <w:t>oals/CVs</w:t>
      </w:r>
      <w:r w:rsidR="00B71AC8" w:rsidRPr="00311864">
        <w:t>. There were also students in Y13</w:t>
      </w:r>
      <w:r w:rsidR="00F6055C" w:rsidRPr="00311864">
        <w:t>,</w:t>
      </w:r>
      <w:r w:rsidR="00B71AC8" w:rsidRPr="00311864">
        <w:t xml:space="preserve"> who currently receive additional support for learning who </w:t>
      </w:r>
      <w:r w:rsidR="006241CE" w:rsidRPr="00311864">
        <w:t xml:space="preserve">might have a potential gap in their support </w:t>
      </w:r>
      <w:r w:rsidR="007B538D" w:rsidRPr="00311864">
        <w:t xml:space="preserve">for the first few months at a university </w:t>
      </w:r>
      <w:r w:rsidR="006241CE" w:rsidRPr="00311864">
        <w:t>while</w:t>
      </w:r>
      <w:r w:rsidR="007B538D" w:rsidRPr="00311864">
        <w:t xml:space="preserve"> a DSA assessment is completed.</w:t>
      </w:r>
    </w:p>
    <w:p w:rsidR="006241CE" w:rsidRPr="00311864" w:rsidRDefault="00B06F8E" w:rsidP="006241CE">
      <w:pPr>
        <w:pStyle w:val="ListParagraph"/>
        <w:numPr>
          <w:ilvl w:val="0"/>
          <w:numId w:val="2"/>
        </w:numPr>
      </w:pPr>
      <w:r>
        <w:rPr>
          <w:b/>
        </w:rPr>
        <w:t xml:space="preserve">Some </w:t>
      </w:r>
      <w:r w:rsidR="006241CE" w:rsidRPr="00311864">
        <w:rPr>
          <w:b/>
        </w:rPr>
        <w:t>have a parental barrier</w:t>
      </w:r>
      <w:r w:rsidR="006241CE" w:rsidRPr="00311864">
        <w:t xml:space="preserve"> such as parents not feeling that university will be of benefit, not wanting their child to move away from home, being concerned about the fees and costs.</w:t>
      </w:r>
      <w:r w:rsidR="00DE2C0C" w:rsidRPr="00311864">
        <w:t xml:space="preserve"> Also, parents who support the idea of progression to university but haven’t the information or experience to be able to support the process. </w:t>
      </w:r>
    </w:p>
    <w:p w:rsidR="006241CE" w:rsidRPr="00311864" w:rsidRDefault="00B06F8E" w:rsidP="006241CE">
      <w:pPr>
        <w:pStyle w:val="ListParagraph"/>
        <w:numPr>
          <w:ilvl w:val="0"/>
          <w:numId w:val="2"/>
        </w:numPr>
      </w:pPr>
      <w:r>
        <w:rPr>
          <w:b/>
        </w:rPr>
        <w:t>Some</w:t>
      </w:r>
      <w:r w:rsidR="007B538D" w:rsidRPr="00311864">
        <w:rPr>
          <w:b/>
        </w:rPr>
        <w:t xml:space="preserve"> </w:t>
      </w:r>
      <w:r w:rsidR="006241CE" w:rsidRPr="00311864">
        <w:rPr>
          <w:b/>
        </w:rPr>
        <w:t>have an understanding barrier,</w:t>
      </w:r>
      <w:r w:rsidR="006241CE" w:rsidRPr="00311864">
        <w:t xml:space="preserve"> such as, being interested in specific pathways but not having the right or sufficiently detailed information. </w:t>
      </w:r>
      <w:r>
        <w:t>As an example,</w:t>
      </w:r>
      <w:r w:rsidR="006241CE" w:rsidRPr="00311864">
        <w:t xml:space="preserve"> quite a few students </w:t>
      </w:r>
      <w:r w:rsidR="007B538D" w:rsidRPr="00311864">
        <w:t xml:space="preserve">are </w:t>
      </w:r>
      <w:r w:rsidR="006241CE" w:rsidRPr="00311864">
        <w:t xml:space="preserve">interested in law, </w:t>
      </w:r>
      <w:r w:rsidR="007B538D" w:rsidRPr="00311864">
        <w:t xml:space="preserve">but are </w:t>
      </w:r>
      <w:r w:rsidR="006241CE" w:rsidRPr="00311864">
        <w:t xml:space="preserve">unsure about the different roles in this </w:t>
      </w:r>
      <w:r w:rsidR="007B538D" w:rsidRPr="00311864">
        <w:t xml:space="preserve">job </w:t>
      </w:r>
      <w:r w:rsidR="006241CE" w:rsidRPr="00311864">
        <w:t>area, time needed to progress, additional costs required and also competition, particularly with other students with considerable social capital.</w:t>
      </w:r>
      <w:r w:rsidR="00DE2C0C" w:rsidRPr="00311864">
        <w:t xml:space="preserve"> Also, students sometimes do not know what they don’t know because they have no previous experience of university, the processes they need to follow, how to build up their CV, networks, etc.</w:t>
      </w:r>
    </w:p>
    <w:p w:rsidR="00896EB4" w:rsidRPr="00311864" w:rsidRDefault="00B06F8E" w:rsidP="00452F7D">
      <w:pPr>
        <w:pStyle w:val="ListParagraph"/>
        <w:numPr>
          <w:ilvl w:val="0"/>
          <w:numId w:val="2"/>
        </w:numPr>
      </w:pPr>
      <w:r>
        <w:rPr>
          <w:b/>
        </w:rPr>
        <w:t xml:space="preserve">Some have </w:t>
      </w:r>
      <w:r w:rsidR="006241CE" w:rsidRPr="00311864">
        <w:rPr>
          <w:b/>
        </w:rPr>
        <w:t>a logistical</w:t>
      </w:r>
      <w:r w:rsidR="00F6055C" w:rsidRPr="00311864">
        <w:rPr>
          <w:b/>
        </w:rPr>
        <w:t>/geographical</w:t>
      </w:r>
      <w:r w:rsidR="006241CE" w:rsidRPr="00311864">
        <w:rPr>
          <w:b/>
        </w:rPr>
        <w:t xml:space="preserve"> barrier</w:t>
      </w:r>
      <w:r w:rsidR="006241CE" w:rsidRPr="00311864">
        <w:t xml:space="preserve">, such as, students who live in S Wilts or Weston who are a long way from WIN universities making it difficult for them to travel to participate in WP or WIN events. Also some are more likely to go to colleges and universities near to where they live but </w:t>
      </w:r>
      <w:r w:rsidR="007B538D" w:rsidRPr="00311864">
        <w:t xml:space="preserve">which are </w:t>
      </w:r>
      <w:r w:rsidR="006241CE" w:rsidRPr="00311864">
        <w:t>outside the WIN area.</w:t>
      </w:r>
    </w:p>
    <w:p w:rsidR="003B6B49" w:rsidRPr="00311864" w:rsidRDefault="00B06F8E" w:rsidP="00452F7D">
      <w:pPr>
        <w:pStyle w:val="ListParagraph"/>
        <w:numPr>
          <w:ilvl w:val="0"/>
          <w:numId w:val="2"/>
        </w:numPr>
      </w:pPr>
      <w:r>
        <w:rPr>
          <w:b/>
        </w:rPr>
        <w:t>Some</w:t>
      </w:r>
      <w:r w:rsidR="003B6B49" w:rsidRPr="00311864">
        <w:rPr>
          <w:b/>
        </w:rPr>
        <w:t xml:space="preserve"> have a progression barrier</w:t>
      </w:r>
      <w:r w:rsidR="003B6B49" w:rsidRPr="00311864">
        <w:t>, such as,</w:t>
      </w:r>
      <w:r w:rsidR="003B6B49" w:rsidRPr="00311864">
        <w:rPr>
          <w:b/>
        </w:rPr>
        <w:t xml:space="preserve"> </w:t>
      </w:r>
      <w:r w:rsidR="003B6B49" w:rsidRPr="00311864">
        <w:t xml:space="preserve">students who are predicted very good GCSEs e.g. 7 and 8s, </w:t>
      </w:r>
      <w:r>
        <w:t xml:space="preserve">who are </w:t>
      </w:r>
      <w:r w:rsidR="003B6B49" w:rsidRPr="00311864">
        <w:t xml:space="preserve">only considering college and vocational courses, even though they </w:t>
      </w:r>
      <w:r w:rsidR="004E7B0C">
        <w:t>have the potential for A Levels and not knowing that some progression to HE will be restricted if they do not follow the A Level path.</w:t>
      </w:r>
      <w:r w:rsidR="003B6B49" w:rsidRPr="00311864">
        <w:t xml:space="preserve"> They are familiar with FE because they know people who have followed this pathway and appear to see progression to a vocational course as either easier or more </w:t>
      </w:r>
      <w:r w:rsidR="00A154C7" w:rsidRPr="00311864">
        <w:t>aligned with a future job.</w:t>
      </w:r>
    </w:p>
    <w:p w:rsidR="00311864" w:rsidRPr="00311864" w:rsidRDefault="00B06F8E" w:rsidP="00311864">
      <w:pPr>
        <w:shd w:val="clear" w:color="auto" w:fill="DAEEF3" w:themeFill="accent5" w:themeFillTint="33"/>
        <w:rPr>
          <w:b/>
        </w:rPr>
      </w:pPr>
      <w:r>
        <w:rPr>
          <w:b/>
        </w:rPr>
        <w:t>Through observations and experience we have</w:t>
      </w:r>
      <w:r w:rsidR="00A154C7" w:rsidRPr="00311864">
        <w:rPr>
          <w:b/>
        </w:rPr>
        <w:t xml:space="preserve"> learnt about varia</w:t>
      </w:r>
      <w:r w:rsidR="00042DE3" w:rsidRPr="00311864">
        <w:rPr>
          <w:b/>
        </w:rPr>
        <w:t>tions at the school/local le</w:t>
      </w:r>
      <w:r w:rsidR="004339AF" w:rsidRPr="00311864">
        <w:rPr>
          <w:b/>
        </w:rPr>
        <w:t>vel</w:t>
      </w:r>
      <w:r w:rsidR="00311864">
        <w:rPr>
          <w:b/>
        </w:rPr>
        <w:t xml:space="preserve"> that</w:t>
      </w:r>
      <w:r>
        <w:rPr>
          <w:b/>
        </w:rPr>
        <w:t xml:space="preserve"> appear to</w:t>
      </w:r>
      <w:r w:rsidR="00311864">
        <w:rPr>
          <w:b/>
        </w:rPr>
        <w:t xml:space="preserve"> make a difference:</w:t>
      </w:r>
    </w:p>
    <w:p w:rsidR="0039473C" w:rsidRDefault="00241D3B" w:rsidP="004339AF">
      <w:pPr>
        <w:pStyle w:val="ListParagraph"/>
        <w:numPr>
          <w:ilvl w:val="0"/>
          <w:numId w:val="13"/>
        </w:numPr>
      </w:pPr>
      <w:r>
        <w:t>Schools which are closely associated with the Armed Forces</w:t>
      </w:r>
      <w:r w:rsidR="00311864">
        <w:t>,</w:t>
      </w:r>
      <w:r>
        <w:t xml:space="preserve"> by location and provision of army cadets</w:t>
      </w:r>
      <w:r w:rsidR="00311864">
        <w:t>,</w:t>
      </w:r>
      <w:r>
        <w:t xml:space="preserve"> are more likely to have students wishing to pursue careers in the forces.</w:t>
      </w:r>
    </w:p>
    <w:p w:rsidR="00241D3B" w:rsidRDefault="00B976D2" w:rsidP="004339AF">
      <w:pPr>
        <w:pStyle w:val="ListParagraph"/>
        <w:numPr>
          <w:ilvl w:val="0"/>
          <w:numId w:val="13"/>
        </w:numPr>
      </w:pPr>
      <w:r>
        <w:t>Students that attend</w:t>
      </w:r>
      <w:r w:rsidR="00241D3B">
        <w:t xml:space="preserve"> schools wit</w:t>
      </w:r>
      <w:r w:rsidR="00311864">
        <w:t>h organised work experience in Y</w:t>
      </w:r>
      <w:r w:rsidR="00B06F8E">
        <w:t xml:space="preserve">ear 10 have greater </w:t>
      </w:r>
      <w:r w:rsidR="00241D3B">
        <w:t xml:space="preserve">awareness of what different jobs </w:t>
      </w:r>
      <w:r>
        <w:t>and work are</w:t>
      </w:r>
      <w:r w:rsidR="00241D3B">
        <w:t xml:space="preserve"> like whe</w:t>
      </w:r>
      <w:r w:rsidR="00311864">
        <w:t>n they come to make choices in Y</w:t>
      </w:r>
      <w:r w:rsidR="00241D3B">
        <w:t>ear 11.</w:t>
      </w:r>
    </w:p>
    <w:p w:rsidR="00241D3B" w:rsidRDefault="00241D3B" w:rsidP="004339AF">
      <w:pPr>
        <w:pStyle w:val="ListParagraph"/>
        <w:numPr>
          <w:ilvl w:val="0"/>
          <w:numId w:val="13"/>
        </w:numPr>
      </w:pPr>
      <w:r>
        <w:t>Students who go to sixth form</w:t>
      </w:r>
      <w:r w:rsidR="00311864">
        <w:t>s</w:t>
      </w:r>
      <w:r>
        <w:t xml:space="preserve"> where they promote a range of </w:t>
      </w:r>
      <w:r w:rsidR="00042DE3">
        <w:t>extracurricular</w:t>
      </w:r>
      <w:r w:rsidR="00311864">
        <w:t xml:space="preserve"> options such as, </w:t>
      </w:r>
      <w:r>
        <w:t>On Track to Bath, Nuffield Internship</w:t>
      </w:r>
      <w:r w:rsidR="00311864">
        <w:t>s</w:t>
      </w:r>
      <w:r>
        <w:t xml:space="preserve"> and Access to Bristol </w:t>
      </w:r>
      <w:r w:rsidR="00B06F8E">
        <w:t>can have a</w:t>
      </w:r>
      <w:r>
        <w:t xml:space="preserve"> clearer idea of what they want to study at university and a</w:t>
      </w:r>
      <w:r w:rsidR="00B06F8E">
        <w:t xml:space="preserve"> potentially </w:t>
      </w:r>
      <w:r>
        <w:t>better chance of getting a pla</w:t>
      </w:r>
      <w:r w:rsidR="00311864">
        <w:t>ce at a selecting university.</w:t>
      </w:r>
    </w:p>
    <w:p w:rsidR="00241D3B" w:rsidRDefault="00241D3B" w:rsidP="004339AF">
      <w:pPr>
        <w:pStyle w:val="ListParagraph"/>
        <w:numPr>
          <w:ilvl w:val="0"/>
          <w:numId w:val="13"/>
        </w:numPr>
      </w:pPr>
      <w:r>
        <w:t>Some schools find it hard to recruit and retain qualified STEM teachers. This has an impact on wh</w:t>
      </w:r>
      <w:r w:rsidR="00311864">
        <w:t>at students choose to do after Y</w:t>
      </w:r>
      <w:r>
        <w:t>ear 11</w:t>
      </w:r>
      <w:r w:rsidR="00311864">
        <w:t xml:space="preserve"> and their engagement with STEM subjects.</w:t>
      </w:r>
    </w:p>
    <w:p w:rsidR="00241D3B" w:rsidRDefault="00241D3B" w:rsidP="004339AF">
      <w:pPr>
        <w:pStyle w:val="ListParagraph"/>
        <w:numPr>
          <w:ilvl w:val="0"/>
          <w:numId w:val="13"/>
        </w:numPr>
      </w:pPr>
      <w:r>
        <w:t>Some schools have a highly organised and structured caree</w:t>
      </w:r>
      <w:r w:rsidR="00B976D2">
        <w:t>rs programme from Y</w:t>
      </w:r>
      <w:r>
        <w:t xml:space="preserve">ear 9 – 13 and </w:t>
      </w:r>
      <w:r w:rsidR="00042DE3">
        <w:t>a qualified careers adviser</w:t>
      </w:r>
      <w:r w:rsidR="00B976D2">
        <w:t>,</w:t>
      </w:r>
      <w:r w:rsidR="00042DE3">
        <w:t xml:space="preserve"> and some do not. The quality of the provision </w:t>
      </w:r>
      <w:r>
        <w:t xml:space="preserve">affects how much a student may know about their options </w:t>
      </w:r>
      <w:r w:rsidR="00B06F8E">
        <w:t>which could</w:t>
      </w:r>
      <w:r w:rsidR="00042DE3">
        <w:t xml:space="preserve"> affect</w:t>
      </w:r>
      <w:r>
        <w:t xml:space="preserve"> their future decisions.</w:t>
      </w:r>
    </w:p>
    <w:p w:rsidR="00042DE3" w:rsidRDefault="00042DE3" w:rsidP="004339AF">
      <w:pPr>
        <w:pStyle w:val="ListParagraph"/>
        <w:numPr>
          <w:ilvl w:val="0"/>
          <w:numId w:val="13"/>
        </w:numPr>
      </w:pPr>
      <w:r>
        <w:t xml:space="preserve">Students who are taken to visit universities as a whole year group as part of a trip </w:t>
      </w:r>
      <w:r w:rsidR="00B06F8E">
        <w:t>have a more positive view of university and might be more likely to</w:t>
      </w:r>
      <w:r>
        <w:t xml:space="preserve"> think about </w:t>
      </w:r>
      <w:r w:rsidR="00B06F8E">
        <w:t>this pathway</w:t>
      </w:r>
      <w:r>
        <w:t>.</w:t>
      </w:r>
    </w:p>
    <w:p w:rsidR="00042DE3" w:rsidRDefault="00042DE3" w:rsidP="004339AF">
      <w:pPr>
        <w:pStyle w:val="ListParagraph"/>
        <w:numPr>
          <w:ilvl w:val="0"/>
          <w:numId w:val="13"/>
        </w:numPr>
      </w:pPr>
      <w:r>
        <w:t>Rural schools have less access to opportunities – whether it is universities attending to speak to students or interesting work experience opportunities.</w:t>
      </w:r>
    </w:p>
    <w:p w:rsidR="00241D3B" w:rsidRDefault="00B06F8E" w:rsidP="00A154C7">
      <w:pPr>
        <w:pStyle w:val="ListParagraph"/>
        <w:numPr>
          <w:ilvl w:val="0"/>
          <w:numId w:val="13"/>
        </w:numPr>
      </w:pPr>
      <w:r>
        <w:t>Offering</w:t>
      </w:r>
      <w:r w:rsidR="00042DE3">
        <w:t xml:space="preserve"> mentoring and support from alumni </w:t>
      </w:r>
      <w:r>
        <w:t>could help</w:t>
      </w:r>
      <w:r w:rsidR="00042DE3">
        <w:t xml:space="preserve"> </w:t>
      </w:r>
      <w:r w:rsidR="00311864">
        <w:t xml:space="preserve">students </w:t>
      </w:r>
      <w:r>
        <w:t>develop higher aspirations.</w:t>
      </w:r>
    </w:p>
    <w:p w:rsidR="00107AA5" w:rsidRDefault="00107AA5" w:rsidP="00107AA5"/>
    <w:p w:rsidR="00107AA5" w:rsidRDefault="00107AA5" w:rsidP="00107AA5"/>
    <w:p w:rsidR="00B06F8E" w:rsidRDefault="00B06F8E" w:rsidP="00107AA5"/>
    <w:p w:rsidR="00B06F8E" w:rsidRDefault="00B06F8E" w:rsidP="00107AA5"/>
    <w:p w:rsidR="00B06F8E" w:rsidRDefault="00B06F8E" w:rsidP="00107AA5"/>
    <w:p w:rsidR="00896EB4" w:rsidRDefault="00896EB4" w:rsidP="00896EB4">
      <w:pPr>
        <w:pStyle w:val="ListParagraph"/>
      </w:pPr>
    </w:p>
    <w:p w:rsidR="006241CE" w:rsidRDefault="00B227AA" w:rsidP="006145AE">
      <w:pPr>
        <w:pStyle w:val="ListParagraph"/>
        <w:shd w:val="clear" w:color="auto" w:fill="DAEEF3" w:themeFill="accent5" w:themeFillTint="33"/>
        <w:ind w:left="0"/>
        <w:rPr>
          <w:b/>
        </w:rPr>
      </w:pPr>
      <w:r>
        <w:rPr>
          <w:b/>
        </w:rPr>
        <w:t xml:space="preserve">From aggregating information in the </w:t>
      </w:r>
      <w:r w:rsidR="00896EB4">
        <w:rPr>
          <w:b/>
        </w:rPr>
        <w:t xml:space="preserve">Careerpilot Reporting Zone </w:t>
      </w:r>
      <w:r w:rsidR="006B52E6">
        <w:rPr>
          <w:b/>
        </w:rPr>
        <w:t xml:space="preserve">across all WIN school by year group, </w:t>
      </w:r>
      <w:r w:rsidR="006145AE">
        <w:rPr>
          <w:b/>
        </w:rPr>
        <w:t xml:space="preserve">              </w:t>
      </w:r>
      <w:r>
        <w:rPr>
          <w:b/>
        </w:rPr>
        <w:t>we learnt:</w:t>
      </w:r>
    </w:p>
    <w:p w:rsidR="006145AE" w:rsidRDefault="006145AE" w:rsidP="006145AE">
      <w:pPr>
        <w:pStyle w:val="ListParagraph"/>
        <w:ind w:left="0"/>
        <w:jc w:val="center"/>
        <w:rPr>
          <w:b/>
        </w:rPr>
      </w:pPr>
    </w:p>
    <w:p w:rsidR="00452F7D" w:rsidRPr="006145AE" w:rsidRDefault="00452F7D" w:rsidP="006145AE">
      <w:pPr>
        <w:pStyle w:val="ListParagraph"/>
        <w:ind w:left="0"/>
        <w:jc w:val="center"/>
        <w:rPr>
          <w:b/>
        </w:rPr>
      </w:pPr>
      <w:r w:rsidRPr="006145AE">
        <w:rPr>
          <w:b/>
        </w:rPr>
        <w:t>The following job sectors are the most popular:</w:t>
      </w:r>
      <w:r w:rsidR="009A61D0">
        <w:rPr>
          <w:b/>
        </w:rPr>
        <w:t xml:space="preserve"> </w:t>
      </w:r>
      <w:r w:rsidR="009A61D0" w:rsidRPr="00A71B86">
        <w:rPr>
          <w:b/>
          <w:shd w:val="clear" w:color="auto" w:fill="9BBB59" w:themeFill="accent3"/>
        </w:rPr>
        <w:t>Top 5 across all years</w:t>
      </w:r>
      <w:r w:rsidR="009A61D0" w:rsidRPr="00A71B86">
        <w:rPr>
          <w:b/>
          <w:shd w:val="clear" w:color="auto" w:fill="FABF8F" w:themeFill="accent6" w:themeFillTint="99"/>
        </w:rPr>
        <w:t>, bottom 5</w:t>
      </w:r>
    </w:p>
    <w:tbl>
      <w:tblPr>
        <w:tblStyle w:val="TableGrid"/>
        <w:tblW w:w="968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87"/>
        <w:gridCol w:w="567"/>
        <w:gridCol w:w="567"/>
        <w:gridCol w:w="524"/>
        <w:gridCol w:w="468"/>
        <w:gridCol w:w="567"/>
        <w:gridCol w:w="425"/>
        <w:gridCol w:w="567"/>
        <w:gridCol w:w="567"/>
        <w:gridCol w:w="426"/>
        <w:gridCol w:w="567"/>
        <w:gridCol w:w="567"/>
        <w:gridCol w:w="425"/>
        <w:gridCol w:w="500"/>
        <w:gridCol w:w="567"/>
        <w:gridCol w:w="492"/>
      </w:tblGrid>
      <w:tr w:rsidR="006145AE" w:rsidRPr="006F1833" w:rsidTr="006145AE">
        <w:trPr>
          <w:trHeight w:val="300"/>
          <w:jc w:val="center"/>
        </w:trPr>
        <w:tc>
          <w:tcPr>
            <w:tcW w:w="1887" w:type="dxa"/>
            <w:vMerge w:val="restart"/>
            <w:tcBorders>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0000"/>
                <w:sz w:val="16"/>
                <w:szCs w:val="16"/>
                <w:lang w:eastAsia="en-GB"/>
              </w:rPr>
            </w:pPr>
          </w:p>
        </w:tc>
        <w:tc>
          <w:tcPr>
            <w:tcW w:w="1658" w:type="dxa"/>
            <w:gridSpan w:val="3"/>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92D050"/>
                <w:sz w:val="16"/>
                <w:szCs w:val="16"/>
                <w:lang w:eastAsia="en-GB"/>
              </w:rPr>
            </w:pPr>
            <w:r w:rsidRPr="006F1833">
              <w:rPr>
                <w:rFonts w:eastAsia="Times New Roman" w:cs="Times New Roman"/>
                <w:b/>
                <w:color w:val="92D050"/>
                <w:sz w:val="16"/>
                <w:szCs w:val="16"/>
                <w:lang w:eastAsia="en-GB"/>
              </w:rPr>
              <w:t>Y10</w:t>
            </w:r>
          </w:p>
        </w:tc>
        <w:tc>
          <w:tcPr>
            <w:tcW w:w="1460" w:type="dxa"/>
            <w:gridSpan w:val="3"/>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70C0"/>
                <w:sz w:val="16"/>
                <w:szCs w:val="16"/>
                <w:lang w:eastAsia="en-GB"/>
              </w:rPr>
            </w:pPr>
            <w:r w:rsidRPr="006F1833">
              <w:rPr>
                <w:rFonts w:eastAsia="Times New Roman" w:cs="Times New Roman"/>
                <w:b/>
                <w:color w:val="0070C0"/>
                <w:sz w:val="16"/>
                <w:szCs w:val="16"/>
                <w:lang w:eastAsia="en-GB"/>
              </w:rPr>
              <w:t>Y11</w:t>
            </w:r>
          </w:p>
        </w:tc>
        <w:tc>
          <w:tcPr>
            <w:tcW w:w="1560" w:type="dxa"/>
            <w:gridSpan w:val="3"/>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FFC000"/>
                <w:sz w:val="16"/>
                <w:szCs w:val="16"/>
                <w:lang w:eastAsia="en-GB"/>
              </w:rPr>
            </w:pPr>
            <w:r w:rsidRPr="006F1833">
              <w:rPr>
                <w:rFonts w:eastAsia="Times New Roman" w:cs="Times New Roman"/>
                <w:b/>
                <w:color w:val="FFC000"/>
                <w:sz w:val="16"/>
                <w:szCs w:val="16"/>
                <w:lang w:eastAsia="en-GB"/>
              </w:rPr>
              <w:t>Y12</w:t>
            </w:r>
          </w:p>
        </w:tc>
        <w:tc>
          <w:tcPr>
            <w:tcW w:w="1559" w:type="dxa"/>
            <w:gridSpan w:val="3"/>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7030A0"/>
                <w:sz w:val="16"/>
                <w:szCs w:val="16"/>
                <w:lang w:eastAsia="en-GB"/>
              </w:rPr>
            </w:pPr>
            <w:r w:rsidRPr="006F1833">
              <w:rPr>
                <w:rFonts w:eastAsia="Times New Roman" w:cs="Times New Roman"/>
                <w:b/>
                <w:color w:val="7030A0"/>
                <w:sz w:val="16"/>
                <w:szCs w:val="16"/>
                <w:lang w:eastAsia="en-GB"/>
              </w:rPr>
              <w:t>Y13</w:t>
            </w:r>
          </w:p>
        </w:tc>
        <w:tc>
          <w:tcPr>
            <w:tcW w:w="1559" w:type="dxa"/>
            <w:gridSpan w:val="3"/>
            <w:tcBorders>
              <w:lef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5F497A" w:themeColor="accent4" w:themeShade="BF"/>
                <w:sz w:val="16"/>
                <w:szCs w:val="16"/>
                <w:lang w:eastAsia="en-GB"/>
              </w:rPr>
            </w:pPr>
            <w:r w:rsidRPr="006F1833">
              <w:rPr>
                <w:rFonts w:eastAsia="Times New Roman" w:cs="Times New Roman"/>
                <w:b/>
                <w:color w:val="5F497A" w:themeColor="accent4" w:themeShade="BF"/>
                <w:sz w:val="16"/>
                <w:szCs w:val="16"/>
                <w:lang w:eastAsia="en-GB"/>
              </w:rPr>
              <w:t>All</w:t>
            </w:r>
          </w:p>
        </w:tc>
      </w:tr>
      <w:tr w:rsidR="006145AE" w:rsidRPr="006F1833" w:rsidTr="006145AE">
        <w:trPr>
          <w:trHeight w:val="300"/>
          <w:jc w:val="center"/>
        </w:trPr>
        <w:tc>
          <w:tcPr>
            <w:tcW w:w="1887" w:type="dxa"/>
            <w:vMerge/>
            <w:tcBorders>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0000"/>
                <w:sz w:val="16"/>
                <w:szCs w:val="16"/>
                <w:lang w:eastAsia="en-GB"/>
              </w:rPr>
            </w:pPr>
          </w:p>
        </w:tc>
        <w:tc>
          <w:tcPr>
            <w:tcW w:w="1658" w:type="dxa"/>
            <w:gridSpan w:val="3"/>
            <w:tcBorders>
              <w:top w:val="single" w:sz="4"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92D050"/>
                <w:sz w:val="16"/>
                <w:szCs w:val="16"/>
                <w:lang w:eastAsia="en-GB"/>
              </w:rPr>
            </w:pPr>
            <w:r w:rsidRPr="006F1833">
              <w:rPr>
                <w:rFonts w:eastAsia="Times New Roman" w:cs="Times New Roman"/>
                <w:b/>
                <w:color w:val="92D050"/>
                <w:sz w:val="16"/>
                <w:szCs w:val="16"/>
                <w:lang w:eastAsia="en-GB"/>
              </w:rPr>
              <w:t>105 students</w:t>
            </w:r>
          </w:p>
        </w:tc>
        <w:tc>
          <w:tcPr>
            <w:tcW w:w="1460" w:type="dxa"/>
            <w:gridSpan w:val="3"/>
            <w:tcBorders>
              <w:top w:val="single" w:sz="4"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70C0"/>
                <w:sz w:val="16"/>
                <w:szCs w:val="16"/>
                <w:lang w:eastAsia="en-GB"/>
              </w:rPr>
            </w:pPr>
            <w:r w:rsidRPr="006F1833">
              <w:rPr>
                <w:rFonts w:eastAsia="Times New Roman" w:cs="Times New Roman"/>
                <w:b/>
                <w:color w:val="0070C0"/>
                <w:sz w:val="16"/>
                <w:szCs w:val="16"/>
                <w:lang w:eastAsia="en-GB"/>
              </w:rPr>
              <w:t>121 students</w:t>
            </w:r>
          </w:p>
        </w:tc>
        <w:tc>
          <w:tcPr>
            <w:tcW w:w="1560" w:type="dxa"/>
            <w:gridSpan w:val="3"/>
            <w:tcBorders>
              <w:top w:val="single" w:sz="4"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FFC000"/>
                <w:sz w:val="16"/>
                <w:szCs w:val="16"/>
                <w:lang w:eastAsia="en-GB"/>
              </w:rPr>
            </w:pPr>
            <w:r w:rsidRPr="006F1833">
              <w:rPr>
                <w:rFonts w:eastAsia="Times New Roman" w:cs="Times New Roman"/>
                <w:b/>
                <w:color w:val="FFC000"/>
                <w:sz w:val="16"/>
                <w:szCs w:val="16"/>
                <w:lang w:eastAsia="en-GB"/>
              </w:rPr>
              <w:t>16 students</w:t>
            </w:r>
          </w:p>
        </w:tc>
        <w:tc>
          <w:tcPr>
            <w:tcW w:w="1559" w:type="dxa"/>
            <w:gridSpan w:val="3"/>
            <w:tcBorders>
              <w:top w:val="single" w:sz="4" w:space="0" w:color="auto"/>
              <w:left w:val="single" w:sz="18" w:space="0" w:color="auto"/>
              <w:bottom w:val="single" w:sz="4" w:space="0" w:color="auto"/>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7030A0"/>
                <w:sz w:val="16"/>
                <w:szCs w:val="16"/>
                <w:lang w:eastAsia="en-GB"/>
              </w:rPr>
            </w:pPr>
            <w:r w:rsidRPr="006F1833">
              <w:rPr>
                <w:rFonts w:eastAsia="Times New Roman" w:cs="Times New Roman"/>
                <w:b/>
                <w:color w:val="7030A0"/>
                <w:sz w:val="16"/>
                <w:szCs w:val="16"/>
                <w:lang w:eastAsia="en-GB"/>
              </w:rPr>
              <w:t>54 students</w:t>
            </w:r>
          </w:p>
        </w:tc>
        <w:tc>
          <w:tcPr>
            <w:tcW w:w="1559" w:type="dxa"/>
            <w:gridSpan w:val="3"/>
            <w:tcBorders>
              <w:lef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5F497A" w:themeColor="accent4" w:themeShade="BF"/>
                <w:sz w:val="16"/>
                <w:szCs w:val="16"/>
                <w:lang w:eastAsia="en-GB"/>
              </w:rPr>
            </w:pPr>
            <w:r w:rsidRPr="006F1833">
              <w:rPr>
                <w:rFonts w:eastAsia="Times New Roman" w:cs="Times New Roman"/>
                <w:b/>
                <w:color w:val="5F497A" w:themeColor="accent4" w:themeShade="BF"/>
                <w:sz w:val="16"/>
                <w:szCs w:val="16"/>
                <w:lang w:eastAsia="en-GB"/>
              </w:rPr>
              <w:t>296 students</w:t>
            </w:r>
          </w:p>
        </w:tc>
      </w:tr>
      <w:tr w:rsidR="006145AE" w:rsidRPr="006F1833" w:rsidTr="009A61D0">
        <w:trPr>
          <w:trHeight w:val="300"/>
          <w:jc w:val="center"/>
        </w:trPr>
        <w:tc>
          <w:tcPr>
            <w:tcW w:w="1887" w:type="dxa"/>
            <w:vMerge/>
            <w:tcBorders>
              <w:righ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0000"/>
                <w:sz w:val="16"/>
                <w:szCs w:val="16"/>
                <w:lang w:eastAsia="en-GB"/>
              </w:rPr>
            </w:pP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92D050"/>
                <w:sz w:val="14"/>
                <w:szCs w:val="16"/>
                <w:lang w:eastAsia="en-GB"/>
              </w:rPr>
            </w:pPr>
            <w:r w:rsidRPr="006F1833">
              <w:rPr>
                <w:rFonts w:eastAsia="Times New Roman" w:cs="Times New Roman"/>
                <w:b/>
                <w:color w:val="92D050"/>
                <w:sz w:val="14"/>
                <w:szCs w:val="16"/>
                <w:lang w:eastAsia="en-GB"/>
              </w:rPr>
              <w:t>Replies</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92D050"/>
                <w:sz w:val="14"/>
                <w:szCs w:val="16"/>
                <w:lang w:eastAsia="en-GB"/>
              </w:rPr>
            </w:pPr>
            <w:r w:rsidRPr="006F1833">
              <w:rPr>
                <w:rFonts w:eastAsia="Times New Roman" w:cs="Times New Roman"/>
                <w:b/>
                <w:color w:val="92D050"/>
                <w:sz w:val="14"/>
                <w:szCs w:val="16"/>
                <w:lang w:eastAsia="en-GB"/>
              </w:rPr>
              <w:t>% of year</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F1833" w:rsidRDefault="006145AE" w:rsidP="004E7B0C">
            <w:pPr>
              <w:jc w:val="center"/>
              <w:rPr>
                <w:rFonts w:eastAsia="Times New Roman" w:cs="Times New Roman"/>
                <w:b/>
                <w:color w:val="92D050"/>
                <w:sz w:val="14"/>
                <w:szCs w:val="16"/>
                <w:lang w:eastAsia="en-GB"/>
              </w:rPr>
            </w:pPr>
            <w:r w:rsidRPr="006F1833">
              <w:rPr>
                <w:rFonts w:eastAsia="Times New Roman" w:cs="Times New Roman"/>
                <w:b/>
                <w:color w:val="92D050"/>
                <w:sz w:val="14"/>
                <w:szCs w:val="16"/>
                <w:lang w:eastAsia="en-GB"/>
              </w:rPr>
              <w:t>Rank</w:t>
            </w:r>
          </w:p>
        </w:tc>
        <w:tc>
          <w:tcPr>
            <w:tcW w:w="468" w:type="dxa"/>
            <w:tcBorders>
              <w:top w:val="single" w:sz="4" w:space="0" w:color="auto"/>
              <w:left w:val="single" w:sz="18"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70C0"/>
                <w:sz w:val="14"/>
                <w:szCs w:val="16"/>
                <w:lang w:eastAsia="en-GB"/>
              </w:rPr>
            </w:pPr>
            <w:r w:rsidRPr="006F1833">
              <w:rPr>
                <w:rFonts w:eastAsia="Times New Roman" w:cs="Times New Roman"/>
                <w:b/>
                <w:color w:val="0070C0"/>
                <w:sz w:val="14"/>
                <w:szCs w:val="16"/>
                <w:lang w:eastAsia="en-GB"/>
              </w:rPr>
              <w:t>Replies</w:t>
            </w:r>
          </w:p>
        </w:tc>
        <w:tc>
          <w:tcPr>
            <w:tcW w:w="567" w:type="dxa"/>
            <w:tcBorders>
              <w:top w:val="single" w:sz="4"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0070C0"/>
                <w:sz w:val="14"/>
                <w:szCs w:val="16"/>
                <w:lang w:eastAsia="en-GB"/>
              </w:rPr>
            </w:pPr>
            <w:r w:rsidRPr="006F1833">
              <w:rPr>
                <w:rFonts w:eastAsia="Times New Roman" w:cs="Times New Roman"/>
                <w:b/>
                <w:color w:val="0070C0"/>
                <w:sz w:val="14"/>
                <w:szCs w:val="16"/>
                <w:lang w:eastAsia="en-GB"/>
              </w:rPr>
              <w:t>% of year</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F1833" w:rsidRDefault="006145AE" w:rsidP="004E7B0C">
            <w:pPr>
              <w:jc w:val="center"/>
              <w:rPr>
                <w:rFonts w:eastAsia="Times New Roman" w:cs="Times New Roman"/>
                <w:b/>
                <w:color w:val="0070C0"/>
                <w:sz w:val="14"/>
                <w:szCs w:val="16"/>
                <w:lang w:eastAsia="en-GB"/>
              </w:rPr>
            </w:pPr>
            <w:r w:rsidRPr="006F1833">
              <w:rPr>
                <w:rFonts w:eastAsia="Times New Roman" w:cs="Times New Roman"/>
                <w:b/>
                <w:color w:val="0070C0"/>
                <w:sz w:val="14"/>
                <w:szCs w:val="16"/>
                <w:lang w:eastAsia="en-GB"/>
              </w:rPr>
              <w:t>Rank</w:t>
            </w:r>
          </w:p>
        </w:tc>
        <w:tc>
          <w:tcPr>
            <w:tcW w:w="567" w:type="dxa"/>
            <w:tcBorders>
              <w:top w:val="single" w:sz="4" w:space="0" w:color="auto"/>
              <w:left w:val="single" w:sz="18"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FFC000"/>
                <w:sz w:val="14"/>
                <w:szCs w:val="16"/>
                <w:lang w:eastAsia="en-GB"/>
              </w:rPr>
            </w:pPr>
            <w:r w:rsidRPr="006F1833">
              <w:rPr>
                <w:rFonts w:eastAsia="Times New Roman" w:cs="Times New Roman"/>
                <w:b/>
                <w:color w:val="FFC000"/>
                <w:sz w:val="14"/>
                <w:szCs w:val="16"/>
                <w:lang w:eastAsia="en-GB"/>
              </w:rPr>
              <w:t>Replies</w:t>
            </w:r>
          </w:p>
        </w:tc>
        <w:tc>
          <w:tcPr>
            <w:tcW w:w="567" w:type="dxa"/>
            <w:tcBorders>
              <w:top w:val="single" w:sz="4"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FFC000"/>
                <w:sz w:val="14"/>
                <w:szCs w:val="16"/>
                <w:lang w:eastAsia="en-GB"/>
              </w:rPr>
            </w:pPr>
            <w:r w:rsidRPr="006F1833">
              <w:rPr>
                <w:rFonts w:eastAsia="Times New Roman" w:cs="Times New Roman"/>
                <w:b/>
                <w:color w:val="FFC000"/>
                <w:sz w:val="14"/>
                <w:szCs w:val="16"/>
                <w:lang w:eastAsia="en-GB"/>
              </w:rPr>
              <w:t xml:space="preserve">% of </w:t>
            </w:r>
          </w:p>
          <w:p w:rsidR="006145AE" w:rsidRPr="006F1833" w:rsidRDefault="006145AE" w:rsidP="004E7B0C">
            <w:pPr>
              <w:jc w:val="center"/>
              <w:rPr>
                <w:rFonts w:eastAsia="Times New Roman" w:cs="Times New Roman"/>
                <w:b/>
                <w:color w:val="FFC000"/>
                <w:sz w:val="14"/>
                <w:szCs w:val="16"/>
                <w:lang w:eastAsia="en-GB"/>
              </w:rPr>
            </w:pPr>
            <w:r w:rsidRPr="006F1833">
              <w:rPr>
                <w:rFonts w:eastAsia="Times New Roman" w:cs="Times New Roman"/>
                <w:b/>
                <w:color w:val="FFC000"/>
                <w:sz w:val="14"/>
                <w:szCs w:val="16"/>
                <w:lang w:eastAsia="en-GB"/>
              </w:rPr>
              <w:t>Year</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F1833" w:rsidRDefault="006145AE" w:rsidP="004E7B0C">
            <w:pPr>
              <w:jc w:val="center"/>
              <w:rPr>
                <w:rFonts w:eastAsia="Times New Roman" w:cs="Times New Roman"/>
                <w:b/>
                <w:color w:val="FFC000"/>
                <w:sz w:val="14"/>
                <w:szCs w:val="16"/>
                <w:lang w:eastAsia="en-GB"/>
              </w:rPr>
            </w:pPr>
            <w:r w:rsidRPr="006F1833">
              <w:rPr>
                <w:rFonts w:eastAsia="Times New Roman" w:cs="Times New Roman"/>
                <w:b/>
                <w:color w:val="FFC000"/>
                <w:sz w:val="14"/>
                <w:szCs w:val="16"/>
                <w:lang w:eastAsia="en-GB"/>
              </w:rPr>
              <w:t>Rank</w:t>
            </w:r>
          </w:p>
        </w:tc>
        <w:tc>
          <w:tcPr>
            <w:tcW w:w="567" w:type="dxa"/>
            <w:tcBorders>
              <w:top w:val="single" w:sz="4" w:space="0" w:color="auto"/>
              <w:left w:val="single" w:sz="18"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7030A0"/>
                <w:sz w:val="14"/>
                <w:szCs w:val="16"/>
                <w:lang w:eastAsia="en-GB"/>
              </w:rPr>
            </w:pPr>
            <w:r w:rsidRPr="006F1833">
              <w:rPr>
                <w:rFonts w:eastAsia="Times New Roman" w:cs="Times New Roman"/>
                <w:b/>
                <w:color w:val="7030A0"/>
                <w:sz w:val="14"/>
                <w:szCs w:val="16"/>
                <w:lang w:eastAsia="en-GB"/>
              </w:rPr>
              <w:t>Replies</w:t>
            </w:r>
          </w:p>
        </w:tc>
        <w:tc>
          <w:tcPr>
            <w:tcW w:w="567" w:type="dxa"/>
            <w:tcBorders>
              <w:top w:val="single" w:sz="4" w:space="0" w:color="auto"/>
              <w:bottom w:val="single" w:sz="4"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7030A0"/>
                <w:sz w:val="14"/>
                <w:szCs w:val="16"/>
                <w:lang w:eastAsia="en-GB"/>
              </w:rPr>
            </w:pPr>
            <w:r w:rsidRPr="006F1833">
              <w:rPr>
                <w:rFonts w:eastAsia="Times New Roman" w:cs="Times New Roman"/>
                <w:b/>
                <w:color w:val="7030A0"/>
                <w:sz w:val="14"/>
                <w:szCs w:val="16"/>
                <w:lang w:eastAsia="en-GB"/>
              </w:rPr>
              <w:t>% of year</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F1833" w:rsidRDefault="006145AE" w:rsidP="004E7B0C">
            <w:pPr>
              <w:jc w:val="center"/>
              <w:rPr>
                <w:rFonts w:eastAsia="Times New Roman" w:cs="Times New Roman"/>
                <w:b/>
                <w:color w:val="7030A0"/>
                <w:sz w:val="14"/>
                <w:szCs w:val="16"/>
                <w:lang w:eastAsia="en-GB"/>
              </w:rPr>
            </w:pPr>
            <w:r w:rsidRPr="006F1833">
              <w:rPr>
                <w:rFonts w:eastAsia="Times New Roman" w:cs="Times New Roman"/>
                <w:b/>
                <w:color w:val="7030A0"/>
                <w:sz w:val="14"/>
                <w:szCs w:val="16"/>
                <w:lang w:eastAsia="en-GB"/>
              </w:rPr>
              <w:t>Rank</w:t>
            </w:r>
          </w:p>
        </w:tc>
        <w:tc>
          <w:tcPr>
            <w:tcW w:w="500" w:type="dxa"/>
            <w:tcBorders>
              <w:left w:val="single" w:sz="18" w:space="0" w:color="auto"/>
            </w:tcBorders>
            <w:noWrap/>
            <w:tcMar>
              <w:left w:w="57" w:type="dxa"/>
              <w:right w:w="57" w:type="dxa"/>
            </w:tcMar>
            <w:vAlign w:val="center"/>
          </w:tcPr>
          <w:p w:rsidR="006145AE" w:rsidRPr="006F1833" w:rsidRDefault="006145AE" w:rsidP="004E7B0C">
            <w:pPr>
              <w:jc w:val="center"/>
              <w:rPr>
                <w:rFonts w:eastAsia="Times New Roman" w:cs="Times New Roman"/>
                <w:b/>
                <w:color w:val="5F497A" w:themeColor="accent4" w:themeShade="BF"/>
                <w:sz w:val="14"/>
                <w:szCs w:val="16"/>
                <w:lang w:eastAsia="en-GB"/>
              </w:rPr>
            </w:pPr>
            <w:r w:rsidRPr="006F1833">
              <w:rPr>
                <w:rFonts w:eastAsia="Times New Roman" w:cs="Times New Roman"/>
                <w:b/>
                <w:color w:val="5F497A" w:themeColor="accent4" w:themeShade="BF"/>
                <w:sz w:val="14"/>
                <w:szCs w:val="16"/>
                <w:lang w:eastAsia="en-GB"/>
              </w:rPr>
              <w:t>Replies</w:t>
            </w:r>
          </w:p>
        </w:tc>
        <w:tc>
          <w:tcPr>
            <w:tcW w:w="567" w:type="dxa"/>
            <w:noWrap/>
            <w:tcMar>
              <w:left w:w="57" w:type="dxa"/>
              <w:right w:w="57" w:type="dxa"/>
            </w:tcMar>
            <w:vAlign w:val="center"/>
          </w:tcPr>
          <w:p w:rsidR="006145AE" w:rsidRPr="006F1833" w:rsidRDefault="006145AE" w:rsidP="004E7B0C">
            <w:pPr>
              <w:jc w:val="center"/>
              <w:rPr>
                <w:rFonts w:eastAsia="Times New Roman" w:cs="Times New Roman"/>
                <w:b/>
                <w:color w:val="5F497A" w:themeColor="accent4" w:themeShade="BF"/>
                <w:sz w:val="14"/>
                <w:szCs w:val="16"/>
                <w:lang w:eastAsia="en-GB"/>
              </w:rPr>
            </w:pPr>
            <w:r w:rsidRPr="006F1833">
              <w:rPr>
                <w:rFonts w:eastAsia="Times New Roman" w:cs="Times New Roman"/>
                <w:b/>
                <w:color w:val="5F497A" w:themeColor="accent4" w:themeShade="BF"/>
                <w:sz w:val="14"/>
                <w:szCs w:val="16"/>
                <w:lang w:eastAsia="en-GB"/>
              </w:rPr>
              <w:t>% of total</w:t>
            </w:r>
          </w:p>
        </w:tc>
        <w:tc>
          <w:tcPr>
            <w:tcW w:w="492" w:type="dxa"/>
            <w:tcMar>
              <w:left w:w="57" w:type="dxa"/>
              <w:right w:w="57" w:type="dxa"/>
            </w:tcMar>
            <w:vAlign w:val="center"/>
          </w:tcPr>
          <w:p w:rsidR="006145AE" w:rsidRPr="006F1833" w:rsidRDefault="006145AE" w:rsidP="004E7B0C">
            <w:pPr>
              <w:jc w:val="center"/>
              <w:rPr>
                <w:rFonts w:eastAsia="Times New Roman" w:cs="Times New Roman"/>
                <w:b/>
                <w:color w:val="5F497A" w:themeColor="accent4" w:themeShade="BF"/>
                <w:sz w:val="14"/>
                <w:szCs w:val="16"/>
                <w:lang w:eastAsia="en-GB"/>
              </w:rPr>
            </w:pPr>
            <w:r w:rsidRPr="006F1833">
              <w:rPr>
                <w:rFonts w:eastAsia="Times New Roman" w:cs="Times New Roman"/>
                <w:b/>
                <w:color w:val="5F497A" w:themeColor="accent4" w:themeShade="BF"/>
                <w:sz w:val="14"/>
                <w:szCs w:val="16"/>
                <w:lang w:eastAsia="en-GB"/>
              </w:rPr>
              <w:t>Rank</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Animal, agriculture &amp; environment</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15.2</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r w:rsidRPr="006145AE">
              <w:rPr>
                <w:rFonts w:eastAsia="Times New Roman" w:cs="Times New Roman"/>
                <w:b/>
                <w:color w:val="92D050"/>
                <w:sz w:val="20"/>
                <w:szCs w:val="20"/>
                <w:vertAlign w:val="superscript"/>
                <w:lang w:eastAsia="en-GB"/>
              </w:rPr>
              <w:t xml:space="preserve">rd </w:t>
            </w:r>
            <w:r w:rsidRPr="006145AE">
              <w:rPr>
                <w:rFonts w:eastAsia="Times New Roman" w:cs="Times New Roman"/>
                <w:b/>
                <w:color w:val="92D050"/>
                <w:sz w:val="20"/>
                <w:szCs w:val="20"/>
                <w:lang w:eastAsia="en-GB"/>
              </w:rPr>
              <w: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13.2</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11.1</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38</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12.8</w:t>
            </w:r>
          </w:p>
        </w:tc>
        <w:tc>
          <w:tcPr>
            <w:tcW w:w="492" w:type="dxa"/>
            <w:tcMar>
              <w:left w:w="57" w:type="dxa"/>
              <w:right w:w="57" w:type="dxa"/>
            </w:tcMar>
            <w:vAlign w:val="center"/>
          </w:tcPr>
          <w:p w:rsidR="009A61D0" w:rsidRPr="006145AE" w:rsidRDefault="009A61D0" w:rsidP="009A61D0">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10</w:t>
            </w:r>
            <w:r w:rsidRPr="009A61D0">
              <w:rPr>
                <w:rFonts w:eastAsia="Times New Roman" w:cs="Times New Roman"/>
                <w:b/>
                <w:color w:val="5F497A" w:themeColor="accent4" w:themeShade="BF"/>
                <w:sz w:val="20"/>
                <w:szCs w:val="20"/>
                <w:vertAlign w:val="superscript"/>
                <w:lang w:eastAsia="en-GB"/>
              </w:rPr>
              <w:t>th</w:t>
            </w:r>
          </w:p>
        </w:tc>
      </w:tr>
      <w:tr w:rsidR="006145AE" w:rsidRPr="005E07A4" w:rsidTr="00A71B86">
        <w:trPr>
          <w:trHeight w:val="300"/>
          <w:jc w:val="center"/>
        </w:trPr>
        <w:tc>
          <w:tcPr>
            <w:tcW w:w="1887" w:type="dxa"/>
            <w:tcBorders>
              <w:right w:val="single" w:sz="18" w:space="0" w:color="auto"/>
            </w:tcBorders>
            <w:shd w:val="clear" w:color="auto" w:fill="C2D69B" w:themeFill="accent3"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Art &amp; design</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28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26.7</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w:t>
            </w:r>
            <w:r w:rsidRPr="006145AE">
              <w:rPr>
                <w:rFonts w:eastAsia="Times New Roman" w:cs="Times New Roman"/>
                <w:b/>
                <w:color w:val="92D050"/>
                <w:sz w:val="20"/>
                <w:szCs w:val="20"/>
                <w:vertAlign w:val="superscript"/>
                <w:lang w:eastAsia="en-GB"/>
              </w:rPr>
              <w:t>st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54</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44.6</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w:t>
            </w:r>
            <w:r w:rsidRPr="006145AE">
              <w:rPr>
                <w:rFonts w:eastAsia="Times New Roman" w:cs="Times New Roman"/>
                <w:b/>
                <w:color w:val="0070C0"/>
                <w:sz w:val="20"/>
                <w:szCs w:val="20"/>
                <w:vertAlign w:val="superscript"/>
                <w:lang w:eastAsia="en-GB"/>
              </w:rPr>
              <w:t>st</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100.0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w:t>
            </w:r>
            <w:r w:rsidRPr="006145AE">
              <w:rPr>
                <w:rFonts w:eastAsia="Times New Roman" w:cs="Times New Roman"/>
                <w:b/>
                <w:color w:val="FFC000"/>
                <w:sz w:val="20"/>
                <w:szCs w:val="20"/>
                <w:vertAlign w:val="superscript"/>
                <w:lang w:eastAsia="en-GB"/>
              </w:rPr>
              <w:t>st</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32</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59.3</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w:t>
            </w:r>
            <w:r w:rsidRPr="006145AE">
              <w:rPr>
                <w:rFonts w:eastAsia="Times New Roman" w:cs="Times New Roman"/>
                <w:b/>
                <w:color w:val="7030A0"/>
                <w:sz w:val="20"/>
                <w:szCs w:val="20"/>
                <w:vertAlign w:val="superscript"/>
                <w:lang w:eastAsia="en-GB"/>
              </w:rPr>
              <w:t>st</w:t>
            </w: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130</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43.6</w:t>
            </w:r>
          </w:p>
        </w:tc>
        <w:tc>
          <w:tcPr>
            <w:tcW w:w="492" w:type="dxa"/>
            <w:tcMar>
              <w:left w:w="57" w:type="dxa"/>
              <w:right w:w="57" w:type="dxa"/>
            </w:tcMar>
            <w:vAlign w:val="center"/>
          </w:tcPr>
          <w:p w:rsidR="006145AE" w:rsidRPr="006145AE" w:rsidRDefault="006145AE" w:rsidP="004E7B0C">
            <w:pPr>
              <w:jc w:val="center"/>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w:t>
            </w:r>
            <w:r w:rsidRPr="006145AE">
              <w:rPr>
                <w:rFonts w:eastAsia="Times New Roman" w:cs="Times New Roman"/>
                <w:b/>
                <w:color w:val="5F497A" w:themeColor="accent4" w:themeShade="BF"/>
                <w:sz w:val="20"/>
                <w:szCs w:val="20"/>
                <w:vertAlign w:val="superscript"/>
                <w:lang w:eastAsia="en-GB"/>
              </w:rPr>
              <w:t>st</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Business &amp; finance</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15.2</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r w:rsidRPr="006145AE">
              <w:rPr>
                <w:rFonts w:eastAsia="Times New Roman" w:cs="Times New Roman"/>
                <w:b/>
                <w:color w:val="92D050"/>
                <w:sz w:val="20"/>
                <w:szCs w:val="20"/>
                <w:vertAlign w:val="superscript"/>
                <w:lang w:eastAsia="en-GB"/>
              </w:rPr>
              <w:t xml:space="preserve">rd </w:t>
            </w:r>
            <w:r w:rsidRPr="006145AE">
              <w:rPr>
                <w:rFonts w:eastAsia="Times New Roman" w:cs="Times New Roman"/>
                <w:b/>
                <w:color w:val="92D050"/>
                <w:sz w:val="20"/>
                <w:szCs w:val="20"/>
                <w:lang w:eastAsia="en-GB"/>
              </w:rPr>
              <w: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32</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26.4</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15</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27.8</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63</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21.1</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6</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Childcare, education &amp; training</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13</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12.4</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24.8</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37.5</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4</w:t>
            </w:r>
            <w:r w:rsidRPr="006145AE">
              <w:rPr>
                <w:rFonts w:eastAsia="Times New Roman" w:cs="Times New Roman"/>
                <w:b/>
                <w:color w:val="FFC000"/>
                <w:sz w:val="20"/>
                <w:szCs w:val="20"/>
                <w:vertAlign w:val="superscript"/>
                <w:lang w:eastAsia="en-GB"/>
              </w:rPr>
              <w:t>th</w:t>
            </w:r>
            <w:r w:rsidRPr="006145AE">
              <w:rPr>
                <w:rFonts w:eastAsia="Times New Roman" w:cs="Times New Roman"/>
                <w:b/>
                <w:color w:val="FFC000"/>
                <w:sz w:val="20"/>
                <w:szCs w:val="20"/>
                <w:lang w:eastAsia="en-GB"/>
              </w:rPr>
              <w:t>=</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9</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16.7</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58</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19.5</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8</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Construction &amp; the built environment</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9</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8.6</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19</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15.7</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11.1</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37</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12.4</w:t>
            </w:r>
          </w:p>
        </w:tc>
        <w:tc>
          <w:tcPr>
            <w:tcW w:w="492" w:type="dxa"/>
            <w:tcMar>
              <w:left w:w="57" w:type="dxa"/>
              <w:right w:w="57" w:type="dxa"/>
            </w:tcMar>
            <w:vAlign w:val="center"/>
          </w:tcPr>
          <w:p w:rsidR="009A61D0" w:rsidRPr="006145AE" w:rsidRDefault="009A61D0" w:rsidP="009A61D0">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11</w:t>
            </w:r>
            <w:r w:rsidRPr="009A61D0">
              <w:rPr>
                <w:rFonts w:eastAsia="Times New Roman" w:cs="Times New Roman"/>
                <w:b/>
                <w:color w:val="5F497A" w:themeColor="accent4" w:themeShade="BF"/>
                <w:sz w:val="20"/>
                <w:szCs w:val="20"/>
                <w:vertAlign w:val="superscript"/>
                <w:lang w:eastAsia="en-GB"/>
              </w:rPr>
              <w:t>th</w:t>
            </w:r>
          </w:p>
        </w:tc>
      </w:tr>
      <w:tr w:rsidR="006145AE" w:rsidRPr="005E07A4" w:rsidTr="00A71B86">
        <w:trPr>
          <w:trHeight w:val="300"/>
          <w:jc w:val="center"/>
        </w:trPr>
        <w:tc>
          <w:tcPr>
            <w:tcW w:w="1887" w:type="dxa"/>
            <w:tcBorders>
              <w:right w:val="single" w:sz="18" w:space="0" w:color="auto"/>
            </w:tcBorders>
            <w:shd w:val="clear" w:color="auto" w:fill="FABF8F" w:themeFill="accent6"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Energy &amp; recycling</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0</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0.0</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0.0</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5.6</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1.0</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15</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Engineering</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14.3</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29.8</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4</w:t>
            </w:r>
            <w:r w:rsidRPr="006145AE">
              <w:rPr>
                <w:rFonts w:eastAsia="Times New Roman" w:cs="Times New Roman"/>
                <w:b/>
                <w:color w:val="0070C0"/>
                <w:sz w:val="20"/>
                <w:szCs w:val="20"/>
                <w:vertAlign w:val="superscript"/>
                <w:lang w:eastAsia="en-GB"/>
              </w:rPr>
              <w:t>th</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8</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50.0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0.0</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61</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20.5</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7th</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Hair, beauty &amp; wellbeing</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15.2</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r w:rsidRPr="006145AE">
              <w:rPr>
                <w:rFonts w:eastAsia="Times New Roman" w:cs="Times New Roman"/>
                <w:b/>
                <w:color w:val="92D050"/>
                <w:sz w:val="20"/>
                <w:szCs w:val="20"/>
                <w:vertAlign w:val="superscript"/>
                <w:lang w:eastAsia="en-GB"/>
              </w:rPr>
              <w:t xml:space="preserve">rd </w:t>
            </w:r>
            <w:r w:rsidRPr="006145AE">
              <w:rPr>
                <w:rFonts w:eastAsia="Times New Roman" w:cs="Times New Roman"/>
                <w:b/>
                <w:color w:val="92D050"/>
                <w:sz w:val="20"/>
                <w:szCs w:val="20"/>
                <w:lang w:eastAsia="en-GB"/>
              </w:rPr>
              <w: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18</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14.9</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0.0</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34</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11.4</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12</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A71B86">
        <w:trPr>
          <w:trHeight w:val="300"/>
          <w:jc w:val="center"/>
        </w:trPr>
        <w:tc>
          <w:tcPr>
            <w:tcW w:w="1887" w:type="dxa"/>
            <w:tcBorders>
              <w:right w:val="single" w:sz="18" w:space="0" w:color="auto"/>
            </w:tcBorders>
            <w:shd w:val="clear" w:color="auto" w:fill="C2D69B" w:themeFill="accent3"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Health &amp; social care</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14.3</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39</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32.2</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w:t>
            </w:r>
            <w:r w:rsidRPr="006145AE">
              <w:rPr>
                <w:rFonts w:eastAsia="Times New Roman" w:cs="Times New Roman"/>
                <w:b/>
                <w:color w:val="0070C0"/>
                <w:sz w:val="20"/>
                <w:szCs w:val="20"/>
                <w:vertAlign w:val="superscript"/>
                <w:lang w:eastAsia="en-GB"/>
              </w:rPr>
              <w:t>rd</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12</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75.0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2</w:t>
            </w:r>
            <w:r w:rsidRPr="006145AE">
              <w:rPr>
                <w:rFonts w:eastAsia="Times New Roman" w:cs="Times New Roman"/>
                <w:b/>
                <w:color w:val="FFC000"/>
                <w:sz w:val="20"/>
                <w:szCs w:val="20"/>
                <w:vertAlign w:val="superscript"/>
                <w:lang w:eastAsia="en-GB"/>
              </w:rPr>
              <w:t>nd</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29.6</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w:t>
            </w:r>
            <w:r w:rsidRPr="006145AE">
              <w:rPr>
                <w:rFonts w:eastAsia="Times New Roman" w:cs="Times New Roman"/>
                <w:b/>
                <w:color w:val="7030A0"/>
                <w:sz w:val="20"/>
                <w:szCs w:val="20"/>
                <w:vertAlign w:val="superscript"/>
                <w:lang w:eastAsia="en-GB"/>
              </w:rPr>
              <w:t>rd</w:t>
            </w: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83</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27.9</w:t>
            </w:r>
          </w:p>
        </w:tc>
        <w:tc>
          <w:tcPr>
            <w:tcW w:w="492" w:type="dxa"/>
            <w:tcMar>
              <w:left w:w="57" w:type="dxa"/>
              <w:right w:w="57" w:type="dxa"/>
            </w:tcMar>
            <w:vAlign w:val="center"/>
          </w:tcPr>
          <w:p w:rsidR="006145AE" w:rsidRPr="006145AE" w:rsidRDefault="006145AE" w:rsidP="004E7B0C">
            <w:pPr>
              <w:jc w:val="center"/>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w:t>
            </w:r>
            <w:r w:rsidRPr="006145AE">
              <w:rPr>
                <w:rFonts w:eastAsia="Times New Roman" w:cs="Times New Roman"/>
                <w:b/>
                <w:color w:val="5F497A" w:themeColor="accent4" w:themeShade="BF"/>
                <w:sz w:val="20"/>
                <w:szCs w:val="20"/>
                <w:vertAlign w:val="superscript"/>
                <w:lang w:eastAsia="en-GB"/>
              </w:rPr>
              <w:t>rd</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Hospitality &amp; catering</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11</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10.5</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14</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11.6</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1.9</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26</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8.7</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12</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IT &amp; Digital</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17.1</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2</w:t>
            </w:r>
            <w:r w:rsidRPr="006145AE">
              <w:rPr>
                <w:rFonts w:eastAsia="Times New Roman" w:cs="Times New Roman"/>
                <w:b/>
                <w:color w:val="92D050"/>
                <w:sz w:val="20"/>
                <w:szCs w:val="20"/>
                <w:vertAlign w:val="superscript"/>
                <w:lang w:eastAsia="en-GB"/>
              </w:rPr>
              <w:t>nd</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21.5</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4</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25.0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9.3</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54</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18.1</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9</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A71B86">
        <w:trPr>
          <w:trHeight w:val="300"/>
          <w:jc w:val="center"/>
        </w:trPr>
        <w:tc>
          <w:tcPr>
            <w:tcW w:w="1887" w:type="dxa"/>
            <w:tcBorders>
              <w:right w:val="single" w:sz="18" w:space="0" w:color="auto"/>
            </w:tcBorders>
            <w:shd w:val="clear" w:color="auto" w:fill="C2D69B" w:themeFill="accent3"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Law, politics &amp; government</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11</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10.5</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21.5</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18.8</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24</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44.4</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w:t>
            </w:r>
            <w:r w:rsidRPr="006145AE">
              <w:rPr>
                <w:rFonts w:eastAsia="Times New Roman" w:cs="Times New Roman"/>
                <w:b/>
                <w:color w:val="7030A0"/>
                <w:sz w:val="20"/>
                <w:szCs w:val="20"/>
                <w:vertAlign w:val="superscript"/>
                <w:lang w:eastAsia="en-GB"/>
              </w:rPr>
              <w:t>nd</w:t>
            </w: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65</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21.8</w:t>
            </w:r>
          </w:p>
        </w:tc>
        <w:tc>
          <w:tcPr>
            <w:tcW w:w="492" w:type="dxa"/>
            <w:tcMar>
              <w:left w:w="57" w:type="dxa"/>
              <w:right w:w="57" w:type="dxa"/>
            </w:tcMar>
            <w:vAlign w:val="center"/>
          </w:tcPr>
          <w:p w:rsidR="006145AE" w:rsidRPr="006145AE" w:rsidRDefault="006145AE" w:rsidP="004E7B0C">
            <w:pPr>
              <w:jc w:val="center"/>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5</w:t>
            </w:r>
            <w:r w:rsidRPr="006145AE">
              <w:rPr>
                <w:rFonts w:eastAsia="Times New Roman" w:cs="Times New Roman"/>
                <w:b/>
                <w:color w:val="5F497A" w:themeColor="accent4" w:themeShade="BF"/>
                <w:sz w:val="20"/>
                <w:szCs w:val="20"/>
                <w:vertAlign w:val="superscript"/>
                <w:lang w:eastAsia="en-GB"/>
              </w:rPr>
              <w:t>th</w:t>
            </w:r>
          </w:p>
        </w:tc>
      </w:tr>
      <w:tr w:rsidR="006145AE" w:rsidRPr="005E07A4" w:rsidTr="00A71B86">
        <w:trPr>
          <w:trHeight w:val="300"/>
          <w:jc w:val="center"/>
        </w:trPr>
        <w:tc>
          <w:tcPr>
            <w:tcW w:w="1887" w:type="dxa"/>
            <w:tcBorders>
              <w:right w:val="single" w:sz="18" w:space="0" w:color="auto"/>
            </w:tcBorders>
            <w:shd w:val="clear" w:color="auto" w:fill="FABF8F" w:themeFill="accent6"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Marine &amp; maritime</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4.8</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2.5</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0.0</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9</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3.0</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14</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A71B86">
        <w:trPr>
          <w:trHeight w:val="300"/>
          <w:jc w:val="center"/>
        </w:trPr>
        <w:tc>
          <w:tcPr>
            <w:tcW w:w="1887" w:type="dxa"/>
            <w:tcBorders>
              <w:right w:val="single" w:sz="18" w:space="0" w:color="auto"/>
            </w:tcBorders>
            <w:shd w:val="clear" w:color="auto" w:fill="FABF8F" w:themeFill="accent6"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Media, games &amp; performing arts</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10</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9.5</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2.5</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2</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12.5</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3.7</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17</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5.7</w:t>
            </w:r>
          </w:p>
        </w:tc>
        <w:tc>
          <w:tcPr>
            <w:tcW w:w="492" w:type="dxa"/>
            <w:tcMar>
              <w:left w:w="57" w:type="dxa"/>
              <w:right w:w="57" w:type="dxa"/>
            </w:tcMar>
            <w:vAlign w:val="center"/>
          </w:tcPr>
          <w:p w:rsidR="009A61D0" w:rsidRPr="006145AE" w:rsidRDefault="009A61D0" w:rsidP="009A61D0">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13</w:t>
            </w:r>
            <w:r w:rsidRPr="009A61D0">
              <w:rPr>
                <w:rFonts w:eastAsia="Times New Roman" w:cs="Times New Roman"/>
                <w:b/>
                <w:color w:val="5F497A" w:themeColor="accent4" w:themeShade="BF"/>
                <w:sz w:val="20"/>
                <w:szCs w:val="20"/>
                <w:vertAlign w:val="superscript"/>
                <w:lang w:eastAsia="en-GB"/>
              </w:rPr>
              <w:t>th</w:t>
            </w:r>
          </w:p>
        </w:tc>
      </w:tr>
      <w:tr w:rsidR="006145AE" w:rsidRPr="005E07A4" w:rsidTr="00A71B86">
        <w:trPr>
          <w:trHeight w:val="300"/>
          <w:jc w:val="center"/>
        </w:trPr>
        <w:tc>
          <w:tcPr>
            <w:tcW w:w="1887" w:type="dxa"/>
            <w:tcBorders>
              <w:right w:val="single" w:sz="18" w:space="0" w:color="auto"/>
            </w:tcBorders>
            <w:shd w:val="clear" w:color="auto" w:fill="FABF8F" w:themeFill="accent6"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Retail &amp; customer services</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2.9</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2.5</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5.6</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9</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3.0</w:t>
            </w:r>
          </w:p>
        </w:tc>
        <w:tc>
          <w:tcPr>
            <w:tcW w:w="492" w:type="dxa"/>
            <w:tcMar>
              <w:left w:w="57" w:type="dxa"/>
              <w:right w:w="57" w:type="dxa"/>
            </w:tcMar>
            <w:vAlign w:val="center"/>
          </w:tcPr>
          <w:p w:rsidR="009A61D0" w:rsidRPr="006145AE" w:rsidRDefault="009A61D0" w:rsidP="009A61D0">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14</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9A61D0">
        <w:trPr>
          <w:trHeight w:val="300"/>
          <w:jc w:val="center"/>
        </w:trPr>
        <w:tc>
          <w:tcPr>
            <w:tcW w:w="1887" w:type="dxa"/>
            <w:tcBorders>
              <w:right w:val="single" w:sz="18" w:space="0" w:color="auto"/>
            </w:tcBorders>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Science &amp; maths</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10</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9.5</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27.3</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5</w:t>
            </w:r>
            <w:r w:rsidRPr="006145AE">
              <w:rPr>
                <w:rFonts w:eastAsia="Times New Roman" w:cs="Times New Roman"/>
                <w:b/>
                <w:color w:val="0070C0"/>
                <w:sz w:val="20"/>
                <w:szCs w:val="20"/>
                <w:vertAlign w:val="superscript"/>
                <w:lang w:eastAsia="en-GB"/>
              </w:rPr>
              <w:t>th</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9</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56.3</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3</w:t>
            </w:r>
            <w:r w:rsidRPr="006145AE">
              <w:rPr>
                <w:rFonts w:eastAsia="Times New Roman" w:cs="Times New Roman"/>
                <w:b/>
                <w:color w:val="FFC000"/>
                <w:sz w:val="20"/>
                <w:szCs w:val="20"/>
                <w:vertAlign w:val="superscript"/>
                <w:lang w:eastAsia="en-GB"/>
              </w:rPr>
              <w:t>rd</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11.1</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58</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19.5</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8</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r w:rsidR="006145AE" w:rsidRPr="005E07A4" w:rsidTr="00A71B86">
        <w:trPr>
          <w:trHeight w:val="300"/>
          <w:jc w:val="center"/>
        </w:trPr>
        <w:tc>
          <w:tcPr>
            <w:tcW w:w="1887" w:type="dxa"/>
            <w:tcBorders>
              <w:right w:val="single" w:sz="18" w:space="0" w:color="auto"/>
            </w:tcBorders>
            <w:shd w:val="clear" w:color="auto" w:fill="C2D69B" w:themeFill="accent3"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Security &amp; emergency services</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15.2</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r w:rsidRPr="006145AE">
              <w:rPr>
                <w:rFonts w:eastAsia="Times New Roman" w:cs="Times New Roman"/>
                <w:b/>
                <w:color w:val="92D050"/>
                <w:sz w:val="20"/>
                <w:szCs w:val="20"/>
                <w:vertAlign w:val="superscript"/>
                <w:lang w:eastAsia="en-GB"/>
              </w:rPr>
              <w:t xml:space="preserve">rd </w:t>
            </w:r>
            <w:r w:rsidRPr="006145AE">
              <w:rPr>
                <w:rFonts w:eastAsia="Times New Roman" w:cs="Times New Roman"/>
                <w:b/>
                <w:color w:val="92D050"/>
                <w:sz w:val="20"/>
                <w:szCs w:val="20"/>
                <w:lang w:eastAsia="en-GB"/>
              </w:rPr>
              <w: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30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24.8</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18.8</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15</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27.8</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4</w:t>
            </w:r>
            <w:r w:rsidRPr="006145AE">
              <w:rPr>
                <w:rFonts w:eastAsia="Times New Roman" w:cs="Times New Roman"/>
                <w:b/>
                <w:color w:val="7030A0"/>
                <w:sz w:val="20"/>
                <w:szCs w:val="20"/>
                <w:vertAlign w:val="superscript"/>
                <w:lang w:eastAsia="en-GB"/>
              </w:rPr>
              <w:t>th</w:t>
            </w: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66</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22.1</w:t>
            </w:r>
          </w:p>
        </w:tc>
        <w:tc>
          <w:tcPr>
            <w:tcW w:w="492" w:type="dxa"/>
            <w:tcMar>
              <w:left w:w="57" w:type="dxa"/>
              <w:right w:w="57" w:type="dxa"/>
            </w:tcMar>
            <w:vAlign w:val="center"/>
          </w:tcPr>
          <w:p w:rsidR="006145AE" w:rsidRPr="006145AE" w:rsidRDefault="006145AE" w:rsidP="004E7B0C">
            <w:pPr>
              <w:jc w:val="center"/>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4</w:t>
            </w:r>
            <w:r w:rsidRPr="006145AE">
              <w:rPr>
                <w:rFonts w:eastAsia="Times New Roman" w:cs="Times New Roman"/>
                <w:b/>
                <w:color w:val="5F497A" w:themeColor="accent4" w:themeShade="BF"/>
                <w:sz w:val="20"/>
                <w:szCs w:val="20"/>
                <w:vertAlign w:val="superscript"/>
                <w:lang w:eastAsia="en-GB"/>
              </w:rPr>
              <w:t>th</w:t>
            </w:r>
          </w:p>
        </w:tc>
      </w:tr>
      <w:tr w:rsidR="006145AE" w:rsidRPr="005E07A4" w:rsidTr="00A71B86">
        <w:trPr>
          <w:trHeight w:val="300"/>
          <w:jc w:val="center"/>
        </w:trPr>
        <w:tc>
          <w:tcPr>
            <w:tcW w:w="1887" w:type="dxa"/>
            <w:tcBorders>
              <w:right w:val="single" w:sz="18" w:space="0" w:color="auto"/>
            </w:tcBorders>
            <w:shd w:val="clear" w:color="auto" w:fill="C2D69B" w:themeFill="accent3"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Sports, leisure &amp; tourism</w:t>
            </w:r>
          </w:p>
        </w:tc>
        <w:tc>
          <w:tcPr>
            <w:tcW w:w="567" w:type="dxa"/>
            <w:tcBorders>
              <w:top w:val="single" w:sz="4" w:space="0" w:color="auto"/>
              <w:left w:val="single" w:sz="18"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15.2</w:t>
            </w:r>
          </w:p>
        </w:tc>
        <w:tc>
          <w:tcPr>
            <w:tcW w:w="524" w:type="dxa"/>
            <w:tcBorders>
              <w:top w:val="single" w:sz="4" w:space="0" w:color="auto"/>
              <w:left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3</w:t>
            </w:r>
            <w:r w:rsidRPr="006145AE">
              <w:rPr>
                <w:rFonts w:eastAsia="Times New Roman" w:cs="Times New Roman"/>
                <w:b/>
                <w:color w:val="92D050"/>
                <w:sz w:val="20"/>
                <w:szCs w:val="20"/>
                <w:vertAlign w:val="superscript"/>
                <w:lang w:eastAsia="en-GB"/>
              </w:rPr>
              <w:t xml:space="preserve">rd </w:t>
            </w:r>
            <w:r w:rsidRPr="006145AE">
              <w:rPr>
                <w:rFonts w:eastAsia="Times New Roman" w:cs="Times New Roman"/>
                <w:b/>
                <w:color w:val="92D050"/>
                <w:sz w:val="20"/>
                <w:szCs w:val="20"/>
                <w:lang w:eastAsia="en-GB"/>
              </w:rPr>
              <w:t>=</w:t>
            </w:r>
          </w:p>
        </w:tc>
        <w:tc>
          <w:tcPr>
            <w:tcW w:w="468"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50</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41.3</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2</w:t>
            </w:r>
            <w:r w:rsidRPr="006145AE">
              <w:rPr>
                <w:rFonts w:eastAsia="Times New Roman" w:cs="Times New Roman"/>
                <w:b/>
                <w:color w:val="0070C0"/>
                <w:sz w:val="20"/>
                <w:szCs w:val="20"/>
                <w:vertAlign w:val="superscript"/>
                <w:lang w:eastAsia="en-GB"/>
              </w:rPr>
              <w:t>nd</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6</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37.5</w:t>
            </w:r>
          </w:p>
        </w:tc>
        <w:tc>
          <w:tcPr>
            <w:tcW w:w="426"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4</w:t>
            </w:r>
            <w:r w:rsidRPr="006145AE">
              <w:rPr>
                <w:rFonts w:eastAsia="Times New Roman" w:cs="Times New Roman"/>
                <w:b/>
                <w:color w:val="FFC000"/>
                <w:sz w:val="20"/>
                <w:szCs w:val="20"/>
                <w:vertAlign w:val="superscript"/>
                <w:lang w:eastAsia="en-GB"/>
              </w:rPr>
              <w:t>th</w:t>
            </w:r>
            <w:r w:rsidRPr="006145AE">
              <w:rPr>
                <w:rFonts w:eastAsia="Times New Roman" w:cs="Times New Roman"/>
                <w:b/>
                <w:color w:val="FFC000"/>
                <w:sz w:val="20"/>
                <w:szCs w:val="20"/>
                <w:lang w:eastAsia="en-GB"/>
              </w:rPr>
              <w:t>=</w:t>
            </w:r>
          </w:p>
        </w:tc>
        <w:tc>
          <w:tcPr>
            <w:tcW w:w="567" w:type="dxa"/>
            <w:tcBorders>
              <w:top w:val="single" w:sz="4" w:space="0" w:color="auto"/>
              <w:left w:val="single" w:sz="18"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13</w:t>
            </w:r>
          </w:p>
        </w:tc>
        <w:tc>
          <w:tcPr>
            <w:tcW w:w="567" w:type="dxa"/>
            <w:tcBorders>
              <w:top w:val="single" w:sz="4" w:space="0" w:color="auto"/>
              <w:bottom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24.1</w:t>
            </w:r>
          </w:p>
        </w:tc>
        <w:tc>
          <w:tcPr>
            <w:tcW w:w="425" w:type="dxa"/>
            <w:tcBorders>
              <w:top w:val="single" w:sz="4" w:space="0" w:color="auto"/>
              <w:bottom w:val="single" w:sz="4"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w:t>
            </w:r>
            <w:r w:rsidRPr="006145AE">
              <w:rPr>
                <w:rFonts w:eastAsia="Times New Roman" w:cs="Times New Roman"/>
                <w:b/>
                <w:color w:val="7030A0"/>
                <w:sz w:val="20"/>
                <w:szCs w:val="20"/>
                <w:vertAlign w:val="superscript"/>
                <w:lang w:eastAsia="en-GB"/>
              </w:rPr>
              <w:t>th</w:t>
            </w: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88</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29.5</w:t>
            </w:r>
          </w:p>
        </w:tc>
        <w:tc>
          <w:tcPr>
            <w:tcW w:w="492" w:type="dxa"/>
            <w:tcMar>
              <w:left w:w="57" w:type="dxa"/>
              <w:right w:w="57" w:type="dxa"/>
            </w:tcMar>
            <w:vAlign w:val="center"/>
          </w:tcPr>
          <w:p w:rsidR="006145AE" w:rsidRPr="006145AE" w:rsidRDefault="006145AE" w:rsidP="004E7B0C">
            <w:pPr>
              <w:jc w:val="center"/>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2</w:t>
            </w:r>
            <w:r w:rsidRPr="006145AE">
              <w:rPr>
                <w:rFonts w:eastAsia="Times New Roman" w:cs="Times New Roman"/>
                <w:b/>
                <w:color w:val="5F497A" w:themeColor="accent4" w:themeShade="BF"/>
                <w:sz w:val="20"/>
                <w:szCs w:val="20"/>
                <w:vertAlign w:val="superscript"/>
                <w:lang w:eastAsia="en-GB"/>
              </w:rPr>
              <w:t>nd</w:t>
            </w:r>
          </w:p>
        </w:tc>
      </w:tr>
      <w:tr w:rsidR="006145AE" w:rsidRPr="005E07A4" w:rsidTr="00A71B86">
        <w:trPr>
          <w:trHeight w:val="300"/>
          <w:jc w:val="center"/>
        </w:trPr>
        <w:tc>
          <w:tcPr>
            <w:tcW w:w="1887" w:type="dxa"/>
            <w:tcBorders>
              <w:right w:val="single" w:sz="18" w:space="0" w:color="auto"/>
            </w:tcBorders>
            <w:shd w:val="clear" w:color="auto" w:fill="FABF8F" w:themeFill="accent6" w:themeFillTint="99"/>
            <w:noWrap/>
            <w:tcMar>
              <w:left w:w="57" w:type="dxa"/>
              <w:right w:w="57" w:type="dxa"/>
            </w:tcMar>
            <w:vAlign w:val="center"/>
            <w:hideMark/>
          </w:tcPr>
          <w:p w:rsidR="006145AE" w:rsidRPr="006145AE" w:rsidRDefault="006145AE" w:rsidP="004E7B0C">
            <w:pPr>
              <w:rPr>
                <w:rFonts w:eastAsia="Times New Roman" w:cs="Times New Roman"/>
                <w:color w:val="000000"/>
                <w:sz w:val="20"/>
                <w:szCs w:val="20"/>
                <w:lang w:eastAsia="en-GB"/>
              </w:rPr>
            </w:pPr>
            <w:r w:rsidRPr="006145AE">
              <w:rPr>
                <w:rFonts w:eastAsia="Times New Roman" w:cs="Times New Roman"/>
                <w:color w:val="000000"/>
                <w:sz w:val="20"/>
                <w:szCs w:val="20"/>
                <w:lang w:eastAsia="en-GB"/>
              </w:rPr>
              <w:t>Transport &amp; distribution</w:t>
            </w:r>
          </w:p>
        </w:tc>
        <w:tc>
          <w:tcPr>
            <w:tcW w:w="567" w:type="dxa"/>
            <w:tcBorders>
              <w:top w:val="single" w:sz="4" w:space="0" w:color="auto"/>
              <w:left w:val="single" w:sz="18" w:space="0" w:color="auto"/>
              <w:bottom w:val="single" w:sz="18"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0</w:t>
            </w:r>
          </w:p>
        </w:tc>
        <w:tc>
          <w:tcPr>
            <w:tcW w:w="567" w:type="dxa"/>
            <w:tcBorders>
              <w:top w:val="single" w:sz="4" w:space="0" w:color="auto"/>
              <w:left w:val="single" w:sz="4" w:space="0" w:color="auto"/>
              <w:bottom w:val="single" w:sz="18" w:space="0" w:color="auto"/>
              <w:right w:val="single" w:sz="4"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92D050"/>
                <w:sz w:val="20"/>
                <w:szCs w:val="20"/>
                <w:lang w:eastAsia="en-GB"/>
              </w:rPr>
            </w:pPr>
            <w:r w:rsidRPr="006145AE">
              <w:rPr>
                <w:rFonts w:eastAsia="Times New Roman" w:cs="Times New Roman"/>
                <w:b/>
                <w:color w:val="92D050"/>
                <w:sz w:val="20"/>
                <w:szCs w:val="20"/>
                <w:lang w:eastAsia="en-GB"/>
              </w:rPr>
              <w:t>0.0</w:t>
            </w:r>
          </w:p>
        </w:tc>
        <w:tc>
          <w:tcPr>
            <w:tcW w:w="524" w:type="dxa"/>
            <w:tcBorders>
              <w:top w:val="single" w:sz="4" w:space="0" w:color="auto"/>
              <w:left w:val="single" w:sz="4" w:space="0" w:color="auto"/>
              <w:bottom w:val="single" w:sz="18"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92D050"/>
                <w:sz w:val="20"/>
                <w:szCs w:val="20"/>
                <w:lang w:eastAsia="en-GB"/>
              </w:rPr>
            </w:pPr>
          </w:p>
        </w:tc>
        <w:tc>
          <w:tcPr>
            <w:tcW w:w="468" w:type="dxa"/>
            <w:tcBorders>
              <w:top w:val="single" w:sz="4" w:space="0" w:color="auto"/>
              <w:left w:val="single" w:sz="18"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0</w:t>
            </w:r>
          </w:p>
        </w:tc>
        <w:tc>
          <w:tcPr>
            <w:tcW w:w="567" w:type="dxa"/>
            <w:tcBorders>
              <w:top w:val="single" w:sz="4"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0070C0"/>
                <w:sz w:val="20"/>
                <w:szCs w:val="20"/>
                <w:lang w:eastAsia="en-GB"/>
              </w:rPr>
            </w:pPr>
            <w:r w:rsidRPr="006145AE">
              <w:rPr>
                <w:rFonts w:eastAsia="Times New Roman" w:cs="Times New Roman"/>
                <w:b/>
                <w:color w:val="0070C0"/>
                <w:sz w:val="20"/>
                <w:szCs w:val="20"/>
                <w:lang w:eastAsia="en-GB"/>
              </w:rPr>
              <w:t>0.0</w:t>
            </w:r>
          </w:p>
        </w:tc>
        <w:tc>
          <w:tcPr>
            <w:tcW w:w="425" w:type="dxa"/>
            <w:tcBorders>
              <w:top w:val="single" w:sz="4" w:space="0" w:color="auto"/>
              <w:bottom w:val="single" w:sz="18"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0070C0"/>
                <w:sz w:val="20"/>
                <w:szCs w:val="20"/>
                <w:lang w:eastAsia="en-GB"/>
              </w:rPr>
            </w:pPr>
          </w:p>
        </w:tc>
        <w:tc>
          <w:tcPr>
            <w:tcW w:w="567" w:type="dxa"/>
            <w:tcBorders>
              <w:top w:val="single" w:sz="4" w:space="0" w:color="auto"/>
              <w:left w:val="single" w:sz="18"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w:t>
            </w:r>
          </w:p>
        </w:tc>
        <w:tc>
          <w:tcPr>
            <w:tcW w:w="567" w:type="dxa"/>
            <w:tcBorders>
              <w:top w:val="single" w:sz="4"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FFC000"/>
                <w:sz w:val="20"/>
                <w:szCs w:val="20"/>
                <w:lang w:eastAsia="en-GB"/>
              </w:rPr>
            </w:pPr>
            <w:r w:rsidRPr="006145AE">
              <w:rPr>
                <w:rFonts w:eastAsia="Times New Roman" w:cs="Times New Roman"/>
                <w:b/>
                <w:color w:val="FFC000"/>
                <w:sz w:val="20"/>
                <w:szCs w:val="20"/>
                <w:lang w:eastAsia="en-GB"/>
              </w:rPr>
              <w:t>0.0</w:t>
            </w:r>
          </w:p>
        </w:tc>
        <w:tc>
          <w:tcPr>
            <w:tcW w:w="426" w:type="dxa"/>
            <w:tcBorders>
              <w:top w:val="single" w:sz="4" w:space="0" w:color="auto"/>
              <w:bottom w:val="single" w:sz="18"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FFC000"/>
                <w:sz w:val="20"/>
                <w:szCs w:val="20"/>
                <w:lang w:eastAsia="en-GB"/>
              </w:rPr>
            </w:pPr>
          </w:p>
        </w:tc>
        <w:tc>
          <w:tcPr>
            <w:tcW w:w="567" w:type="dxa"/>
            <w:tcBorders>
              <w:top w:val="single" w:sz="4" w:space="0" w:color="auto"/>
              <w:left w:val="single" w:sz="18"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3</w:t>
            </w:r>
          </w:p>
        </w:tc>
        <w:tc>
          <w:tcPr>
            <w:tcW w:w="567" w:type="dxa"/>
            <w:tcBorders>
              <w:top w:val="single" w:sz="4" w:space="0" w:color="auto"/>
              <w:bottom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7030A0"/>
                <w:sz w:val="20"/>
                <w:szCs w:val="20"/>
                <w:lang w:eastAsia="en-GB"/>
              </w:rPr>
            </w:pPr>
            <w:r w:rsidRPr="006145AE">
              <w:rPr>
                <w:rFonts w:eastAsia="Times New Roman" w:cs="Times New Roman"/>
                <w:b/>
                <w:color w:val="7030A0"/>
                <w:sz w:val="20"/>
                <w:szCs w:val="20"/>
                <w:lang w:eastAsia="en-GB"/>
              </w:rPr>
              <w:t>5.6</w:t>
            </w:r>
          </w:p>
        </w:tc>
        <w:tc>
          <w:tcPr>
            <w:tcW w:w="425" w:type="dxa"/>
            <w:tcBorders>
              <w:top w:val="single" w:sz="4" w:space="0" w:color="auto"/>
              <w:bottom w:val="single" w:sz="18" w:space="0" w:color="auto"/>
              <w:right w:val="single" w:sz="18" w:space="0" w:color="auto"/>
            </w:tcBorders>
            <w:tcMar>
              <w:left w:w="57" w:type="dxa"/>
              <w:right w:w="57" w:type="dxa"/>
            </w:tcMar>
            <w:vAlign w:val="center"/>
          </w:tcPr>
          <w:p w:rsidR="006145AE" w:rsidRPr="006145AE" w:rsidRDefault="006145AE" w:rsidP="004E7B0C">
            <w:pPr>
              <w:jc w:val="center"/>
              <w:rPr>
                <w:rFonts w:eastAsia="Times New Roman" w:cs="Times New Roman"/>
                <w:b/>
                <w:color w:val="7030A0"/>
                <w:sz w:val="20"/>
                <w:szCs w:val="20"/>
                <w:lang w:eastAsia="en-GB"/>
              </w:rPr>
            </w:pPr>
          </w:p>
        </w:tc>
        <w:tc>
          <w:tcPr>
            <w:tcW w:w="500" w:type="dxa"/>
            <w:tcBorders>
              <w:left w:val="single" w:sz="18" w:space="0" w:color="auto"/>
            </w:tcBorders>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3</w:t>
            </w:r>
          </w:p>
        </w:tc>
        <w:tc>
          <w:tcPr>
            <w:tcW w:w="567" w:type="dxa"/>
            <w:noWrap/>
            <w:tcMar>
              <w:left w:w="57" w:type="dxa"/>
              <w:right w:w="57" w:type="dxa"/>
            </w:tcMar>
            <w:vAlign w:val="center"/>
            <w:hideMark/>
          </w:tcPr>
          <w:p w:rsidR="006145AE" w:rsidRPr="006145AE" w:rsidRDefault="006145AE" w:rsidP="004E7B0C">
            <w:pPr>
              <w:jc w:val="right"/>
              <w:rPr>
                <w:rFonts w:eastAsia="Times New Roman" w:cs="Times New Roman"/>
                <w:b/>
                <w:color w:val="5F497A" w:themeColor="accent4" w:themeShade="BF"/>
                <w:sz w:val="20"/>
                <w:szCs w:val="20"/>
                <w:lang w:eastAsia="en-GB"/>
              </w:rPr>
            </w:pPr>
            <w:r w:rsidRPr="006145AE">
              <w:rPr>
                <w:rFonts w:eastAsia="Times New Roman" w:cs="Times New Roman"/>
                <w:b/>
                <w:color w:val="5F497A" w:themeColor="accent4" w:themeShade="BF"/>
                <w:sz w:val="20"/>
                <w:szCs w:val="20"/>
                <w:lang w:eastAsia="en-GB"/>
              </w:rPr>
              <w:t>1.0</w:t>
            </w:r>
          </w:p>
        </w:tc>
        <w:tc>
          <w:tcPr>
            <w:tcW w:w="492" w:type="dxa"/>
            <w:tcMar>
              <w:left w:w="57" w:type="dxa"/>
              <w:right w:w="57" w:type="dxa"/>
            </w:tcMar>
            <w:vAlign w:val="center"/>
          </w:tcPr>
          <w:p w:rsidR="006145AE" w:rsidRPr="006145AE" w:rsidRDefault="009A61D0" w:rsidP="004E7B0C">
            <w:pPr>
              <w:jc w:val="center"/>
              <w:rPr>
                <w:rFonts w:eastAsia="Times New Roman" w:cs="Times New Roman"/>
                <w:b/>
                <w:color w:val="5F497A" w:themeColor="accent4" w:themeShade="BF"/>
                <w:sz w:val="20"/>
                <w:szCs w:val="20"/>
                <w:lang w:eastAsia="en-GB"/>
              </w:rPr>
            </w:pPr>
            <w:r>
              <w:rPr>
                <w:rFonts w:eastAsia="Times New Roman" w:cs="Times New Roman"/>
                <w:b/>
                <w:color w:val="5F497A" w:themeColor="accent4" w:themeShade="BF"/>
                <w:sz w:val="20"/>
                <w:szCs w:val="20"/>
                <w:lang w:eastAsia="en-GB"/>
              </w:rPr>
              <w:t>15</w:t>
            </w:r>
            <w:r w:rsidRPr="009A61D0">
              <w:rPr>
                <w:rFonts w:eastAsia="Times New Roman" w:cs="Times New Roman"/>
                <w:b/>
                <w:color w:val="5F497A" w:themeColor="accent4" w:themeShade="BF"/>
                <w:sz w:val="20"/>
                <w:szCs w:val="20"/>
                <w:vertAlign w:val="superscript"/>
                <w:lang w:eastAsia="en-GB"/>
              </w:rPr>
              <w:t>th</w:t>
            </w:r>
            <w:r>
              <w:rPr>
                <w:rFonts w:eastAsia="Times New Roman" w:cs="Times New Roman"/>
                <w:b/>
                <w:color w:val="5F497A" w:themeColor="accent4" w:themeShade="BF"/>
                <w:sz w:val="20"/>
                <w:szCs w:val="20"/>
                <w:lang w:eastAsia="en-GB"/>
              </w:rPr>
              <w:t xml:space="preserve"> =</w:t>
            </w:r>
          </w:p>
        </w:tc>
      </w:tr>
    </w:tbl>
    <w:p w:rsidR="00EF4129" w:rsidRDefault="00EF4129" w:rsidP="00B71AC8">
      <w:pPr>
        <w:pStyle w:val="ListParagraph"/>
        <w:ind w:left="0"/>
      </w:pPr>
    </w:p>
    <w:p w:rsidR="00F04820" w:rsidRPr="00F04820" w:rsidRDefault="00F04820" w:rsidP="00F04820">
      <w:pPr>
        <w:pStyle w:val="ListParagraph"/>
        <w:shd w:val="clear" w:color="auto" w:fill="DAEEF3" w:themeFill="accent5" w:themeFillTint="33"/>
        <w:ind w:left="0"/>
        <w:rPr>
          <w:b/>
        </w:rPr>
      </w:pPr>
      <w:r w:rsidRPr="00F04820">
        <w:rPr>
          <w:b/>
        </w:rPr>
        <w:t>The aggregated data shows:</w:t>
      </w:r>
    </w:p>
    <w:p w:rsidR="00F04820" w:rsidRDefault="00F04820" w:rsidP="00F04820">
      <w:pPr>
        <w:pStyle w:val="ListParagraph"/>
        <w:numPr>
          <w:ilvl w:val="0"/>
          <w:numId w:val="15"/>
        </w:numPr>
      </w:pPr>
      <w:r>
        <w:t xml:space="preserve">Art and design is the most popular job sector is all year groups amongst the WIN students. There are many art and design jobs that are predicted to grow but there is also considerable competition. </w:t>
      </w:r>
    </w:p>
    <w:p w:rsidR="00F04820" w:rsidRDefault="00F04820" w:rsidP="00F04820">
      <w:pPr>
        <w:pStyle w:val="ListParagraph"/>
        <w:numPr>
          <w:ilvl w:val="0"/>
          <w:numId w:val="15"/>
        </w:numPr>
        <w:rPr>
          <w:rFonts w:eastAsia="Times New Roman" w:cs="Times New Roman"/>
          <w:color w:val="000000"/>
          <w:lang w:eastAsia="en-GB"/>
        </w:rPr>
      </w:pPr>
      <w:r w:rsidRPr="009A61D0">
        <w:rPr>
          <w:rFonts w:eastAsia="Times New Roman" w:cs="Times New Roman"/>
          <w:color w:val="000000"/>
          <w:lang w:eastAsia="en-GB"/>
        </w:rPr>
        <w:t xml:space="preserve">Energy &amp; recycling </w:t>
      </w:r>
      <w:r>
        <w:rPr>
          <w:rFonts w:eastAsia="Times New Roman" w:cs="Times New Roman"/>
          <w:color w:val="000000"/>
          <w:lang w:eastAsia="en-GB"/>
        </w:rPr>
        <w:t xml:space="preserve">is low down the list even though many jobs in this area are predicted to grow. </w:t>
      </w:r>
    </w:p>
    <w:p w:rsidR="00F04820" w:rsidRDefault="00F04820" w:rsidP="00F04820">
      <w:pPr>
        <w:pStyle w:val="ListParagraph"/>
        <w:numPr>
          <w:ilvl w:val="0"/>
          <w:numId w:val="15"/>
        </w:numPr>
        <w:rPr>
          <w:rFonts w:eastAsia="Times New Roman" w:cs="Times New Roman"/>
          <w:color w:val="000000"/>
          <w:lang w:eastAsia="en-GB"/>
        </w:rPr>
      </w:pPr>
      <w:r w:rsidRPr="00C44324">
        <w:rPr>
          <w:rFonts w:eastAsia="Times New Roman" w:cs="Times New Roman"/>
          <w:color w:val="000000"/>
          <w:lang w:eastAsia="en-GB"/>
        </w:rPr>
        <w:t>Media, games &amp; performing arts</w:t>
      </w:r>
      <w:r>
        <w:rPr>
          <w:rFonts w:eastAsia="Times New Roman" w:cs="Times New Roman"/>
          <w:color w:val="000000"/>
          <w:lang w:eastAsia="en-GB"/>
        </w:rPr>
        <w:t xml:space="preserve"> was lower down the list than might be expected.</w:t>
      </w:r>
    </w:p>
    <w:p w:rsidR="009A61D0" w:rsidRDefault="009A61D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6B52E6" w:rsidRPr="00FC2D3F" w:rsidRDefault="006B52E6" w:rsidP="006B52E6">
      <w:pPr>
        <w:tabs>
          <w:tab w:val="left" w:pos="7275"/>
        </w:tabs>
        <w:jc w:val="center"/>
        <w:rPr>
          <w:b/>
        </w:rPr>
      </w:pPr>
      <w:r w:rsidRPr="00FC2D3F">
        <w:rPr>
          <w:b/>
        </w:rPr>
        <w:t>How likely is it that you will go on to do a Higher Education (HE) course in the future?</w:t>
      </w:r>
    </w:p>
    <w:tbl>
      <w:tblPr>
        <w:tblStyle w:val="TableGrid"/>
        <w:tblW w:w="9356"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71"/>
        <w:gridCol w:w="850"/>
        <w:gridCol w:w="851"/>
        <w:gridCol w:w="850"/>
        <w:gridCol w:w="772"/>
        <w:gridCol w:w="787"/>
        <w:gridCol w:w="851"/>
        <w:gridCol w:w="850"/>
        <w:gridCol w:w="874"/>
      </w:tblGrid>
      <w:tr w:rsidR="006B52E6" w:rsidRPr="00751C64" w:rsidTr="006B52E6">
        <w:trPr>
          <w:trHeight w:val="300"/>
          <w:jc w:val="center"/>
        </w:trPr>
        <w:tc>
          <w:tcPr>
            <w:tcW w:w="2671" w:type="dxa"/>
            <w:vMerge w:val="restart"/>
            <w:tcBorders>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000000"/>
                <w:sz w:val="18"/>
                <w:szCs w:val="18"/>
                <w:lang w:eastAsia="en-GB"/>
              </w:rPr>
            </w:pPr>
          </w:p>
        </w:tc>
        <w:tc>
          <w:tcPr>
            <w:tcW w:w="1701" w:type="dxa"/>
            <w:gridSpan w:val="2"/>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92D050"/>
                <w:sz w:val="18"/>
                <w:szCs w:val="18"/>
                <w:lang w:eastAsia="en-GB"/>
              </w:rPr>
            </w:pPr>
            <w:r w:rsidRPr="000360A7">
              <w:rPr>
                <w:rFonts w:eastAsia="Times New Roman" w:cs="Times New Roman"/>
                <w:b/>
                <w:color w:val="92D050"/>
                <w:sz w:val="18"/>
                <w:szCs w:val="18"/>
                <w:lang w:eastAsia="en-GB"/>
              </w:rPr>
              <w:t>Y10</w:t>
            </w:r>
          </w:p>
        </w:tc>
        <w:tc>
          <w:tcPr>
            <w:tcW w:w="1622" w:type="dxa"/>
            <w:gridSpan w:val="2"/>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0070C0"/>
                <w:sz w:val="18"/>
                <w:szCs w:val="18"/>
                <w:lang w:eastAsia="en-GB"/>
              </w:rPr>
            </w:pPr>
            <w:r w:rsidRPr="000360A7">
              <w:rPr>
                <w:rFonts w:eastAsia="Times New Roman" w:cs="Times New Roman"/>
                <w:b/>
                <w:color w:val="0070C0"/>
                <w:sz w:val="18"/>
                <w:szCs w:val="18"/>
                <w:lang w:eastAsia="en-GB"/>
              </w:rPr>
              <w:t>Y11</w:t>
            </w:r>
          </w:p>
        </w:tc>
        <w:tc>
          <w:tcPr>
            <w:tcW w:w="1638" w:type="dxa"/>
            <w:gridSpan w:val="2"/>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FFC000"/>
                <w:sz w:val="18"/>
                <w:szCs w:val="18"/>
                <w:lang w:eastAsia="en-GB"/>
              </w:rPr>
            </w:pPr>
            <w:r w:rsidRPr="000360A7">
              <w:rPr>
                <w:rFonts w:eastAsia="Times New Roman" w:cs="Times New Roman"/>
                <w:b/>
                <w:color w:val="FFC000"/>
                <w:sz w:val="18"/>
                <w:szCs w:val="18"/>
                <w:lang w:eastAsia="en-GB"/>
              </w:rPr>
              <w:t>Y12</w:t>
            </w:r>
          </w:p>
        </w:tc>
        <w:tc>
          <w:tcPr>
            <w:tcW w:w="1724" w:type="dxa"/>
            <w:gridSpan w:val="2"/>
            <w:tcBorders>
              <w:top w:val="single" w:sz="18" w:space="0" w:color="auto"/>
              <w:left w:val="single" w:sz="18" w:space="0" w:color="auto"/>
              <w:bottom w:val="single" w:sz="4" w:space="0" w:color="auto"/>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7030A0"/>
                <w:sz w:val="18"/>
                <w:szCs w:val="18"/>
                <w:lang w:eastAsia="en-GB"/>
              </w:rPr>
            </w:pPr>
            <w:r w:rsidRPr="00751C64">
              <w:rPr>
                <w:rFonts w:eastAsia="Times New Roman" w:cs="Times New Roman"/>
                <w:b/>
                <w:color w:val="7030A0"/>
                <w:sz w:val="18"/>
                <w:szCs w:val="18"/>
                <w:lang w:eastAsia="en-GB"/>
              </w:rPr>
              <w:t>Y13</w:t>
            </w:r>
          </w:p>
        </w:tc>
      </w:tr>
      <w:tr w:rsidR="006B52E6" w:rsidRPr="00E3109C" w:rsidTr="006B52E6">
        <w:trPr>
          <w:trHeight w:val="300"/>
          <w:jc w:val="center"/>
        </w:trPr>
        <w:tc>
          <w:tcPr>
            <w:tcW w:w="2671" w:type="dxa"/>
            <w:vMerge/>
            <w:tcBorders>
              <w:right w:val="single" w:sz="18" w:space="0" w:color="auto"/>
            </w:tcBorders>
            <w:noWrap/>
            <w:tcMar>
              <w:left w:w="57" w:type="dxa"/>
              <w:right w:w="57" w:type="dxa"/>
            </w:tcMar>
            <w:vAlign w:val="center"/>
          </w:tcPr>
          <w:p w:rsidR="006B52E6" w:rsidRPr="00E3109C" w:rsidRDefault="006B52E6" w:rsidP="006B52E6">
            <w:pPr>
              <w:jc w:val="center"/>
              <w:rPr>
                <w:rFonts w:eastAsia="Times New Roman" w:cs="Times New Roman"/>
                <w:b/>
                <w:color w:val="000000"/>
                <w:sz w:val="12"/>
                <w:szCs w:val="18"/>
                <w:lang w:eastAsia="en-GB"/>
              </w:rPr>
            </w:pP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92D050"/>
                <w:sz w:val="14"/>
                <w:szCs w:val="18"/>
                <w:lang w:eastAsia="en-GB"/>
              </w:rPr>
            </w:pPr>
            <w:r>
              <w:rPr>
                <w:rFonts w:eastAsia="Times New Roman" w:cs="Times New Roman"/>
                <w:b/>
                <w:color w:val="92D050"/>
                <w:sz w:val="14"/>
                <w:szCs w:val="18"/>
                <w:lang w:eastAsia="en-GB"/>
              </w:rPr>
              <w:t>No.</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92D050"/>
                <w:sz w:val="14"/>
                <w:szCs w:val="18"/>
                <w:lang w:eastAsia="en-GB"/>
              </w:rPr>
            </w:pPr>
            <w:r w:rsidRPr="006F1833">
              <w:rPr>
                <w:rFonts w:eastAsia="Times New Roman" w:cs="Times New Roman"/>
                <w:b/>
                <w:color w:val="92D050"/>
                <w:sz w:val="14"/>
                <w:szCs w:val="18"/>
                <w:lang w:eastAsia="en-GB"/>
              </w:rPr>
              <w:t>% of responses</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0070C0"/>
                <w:sz w:val="14"/>
                <w:szCs w:val="18"/>
                <w:lang w:eastAsia="en-GB"/>
              </w:rPr>
            </w:pPr>
            <w:r>
              <w:rPr>
                <w:rFonts w:eastAsia="Times New Roman" w:cs="Times New Roman"/>
                <w:b/>
                <w:color w:val="0070C0"/>
                <w:sz w:val="14"/>
                <w:szCs w:val="18"/>
                <w:lang w:eastAsia="en-GB"/>
              </w:rPr>
              <w:t>No.</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0070C0"/>
                <w:sz w:val="14"/>
                <w:szCs w:val="18"/>
                <w:lang w:eastAsia="en-GB"/>
              </w:rPr>
            </w:pPr>
            <w:r w:rsidRPr="006F1833">
              <w:rPr>
                <w:rFonts w:eastAsia="Times New Roman" w:cs="Times New Roman"/>
                <w:b/>
                <w:color w:val="0070C0"/>
                <w:sz w:val="14"/>
                <w:szCs w:val="18"/>
                <w:lang w:eastAsia="en-GB"/>
              </w:rPr>
              <w:t>% of responses</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FFC000"/>
                <w:sz w:val="14"/>
                <w:szCs w:val="18"/>
                <w:lang w:eastAsia="en-GB"/>
              </w:rPr>
            </w:pPr>
            <w:r>
              <w:rPr>
                <w:rFonts w:eastAsia="Times New Roman" w:cs="Times New Roman"/>
                <w:b/>
                <w:color w:val="FFC000"/>
                <w:sz w:val="14"/>
                <w:szCs w:val="18"/>
                <w:lang w:eastAsia="en-GB"/>
              </w:rPr>
              <w:t>No.</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FFC000"/>
                <w:sz w:val="14"/>
                <w:szCs w:val="18"/>
                <w:lang w:eastAsia="en-GB"/>
              </w:rPr>
            </w:pPr>
            <w:r w:rsidRPr="006F1833">
              <w:rPr>
                <w:rFonts w:eastAsia="Times New Roman" w:cs="Times New Roman"/>
                <w:b/>
                <w:color w:val="FFC000"/>
                <w:sz w:val="14"/>
                <w:szCs w:val="18"/>
                <w:lang w:eastAsia="en-GB"/>
              </w:rPr>
              <w:t>% of responses</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7030A0"/>
                <w:sz w:val="14"/>
                <w:szCs w:val="18"/>
                <w:lang w:eastAsia="en-GB"/>
              </w:rPr>
            </w:pPr>
            <w:r>
              <w:rPr>
                <w:rFonts w:eastAsia="Times New Roman" w:cs="Times New Roman"/>
                <w:b/>
                <w:color w:val="7030A0"/>
                <w:sz w:val="14"/>
                <w:szCs w:val="18"/>
                <w:lang w:eastAsia="en-GB"/>
              </w:rPr>
              <w:t>No.</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center"/>
              <w:rPr>
                <w:rFonts w:eastAsia="Times New Roman" w:cs="Times New Roman"/>
                <w:b/>
                <w:color w:val="7030A0"/>
                <w:sz w:val="14"/>
                <w:szCs w:val="18"/>
                <w:lang w:eastAsia="en-GB"/>
              </w:rPr>
            </w:pPr>
            <w:r w:rsidRPr="006F1833">
              <w:rPr>
                <w:rFonts w:eastAsia="Times New Roman" w:cs="Times New Roman"/>
                <w:b/>
                <w:color w:val="7030A0"/>
                <w:sz w:val="14"/>
                <w:szCs w:val="18"/>
                <w:lang w:eastAsia="en-GB"/>
              </w:rPr>
              <w:t>% of responses</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hideMark/>
          </w:tcPr>
          <w:p w:rsidR="006B52E6" w:rsidRPr="005E07A4"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Definitely will</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17</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23.9</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13</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20.6</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5</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29.4</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8</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5E07A4"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32</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Pr="005E07A4"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Fairly likely</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35</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49.3</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37</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58.7</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7</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41.2</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10</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40</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Fairly unlikely</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2</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2.8</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3</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4.8</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2</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11.8</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2</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8</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Definitely won’t</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0</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0</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Don’t know</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17</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23.9</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10</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15.9</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3</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17.6</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3</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12</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Already doing this</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2</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8</w:t>
            </w:r>
          </w:p>
        </w:tc>
      </w:tr>
      <w:tr w:rsidR="006B52E6" w:rsidRPr="005E07A4" w:rsidTr="006B52E6">
        <w:trPr>
          <w:trHeight w:val="300"/>
          <w:jc w:val="center"/>
        </w:trPr>
        <w:tc>
          <w:tcPr>
            <w:tcW w:w="2671" w:type="dxa"/>
            <w:tcBorders>
              <w:right w:val="single" w:sz="18" w:space="0" w:color="auto"/>
            </w:tcBorders>
            <w:noWrap/>
            <w:tcMar>
              <w:left w:w="57" w:type="dxa"/>
              <w:right w:w="57" w:type="dxa"/>
            </w:tcMar>
            <w:vAlign w:val="center"/>
          </w:tcPr>
          <w:p w:rsidR="006B52E6" w:rsidRDefault="006B52E6" w:rsidP="006B52E6">
            <w:pPr>
              <w:rPr>
                <w:rFonts w:eastAsia="Times New Roman" w:cs="Times New Roman"/>
                <w:color w:val="000000"/>
                <w:sz w:val="18"/>
                <w:szCs w:val="18"/>
                <w:lang w:eastAsia="en-GB"/>
              </w:rPr>
            </w:pPr>
            <w:r>
              <w:rPr>
                <w:rFonts w:eastAsia="Times New Roman" w:cs="Times New Roman"/>
                <w:color w:val="000000"/>
                <w:sz w:val="18"/>
                <w:szCs w:val="18"/>
                <w:lang w:eastAsia="en-GB"/>
              </w:rPr>
              <w:t>Didn’t answer question</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72"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0</w:t>
            </w:r>
          </w:p>
        </w:tc>
        <w:tc>
          <w:tcPr>
            <w:tcW w:w="787"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1"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0</w:t>
            </w:r>
          </w:p>
        </w:tc>
        <w:tc>
          <w:tcPr>
            <w:tcW w:w="850" w:type="dxa"/>
            <w:tcBorders>
              <w:top w:val="single" w:sz="4" w:space="0" w:color="auto"/>
              <w:left w:val="single" w:sz="18" w:space="0" w:color="auto"/>
              <w:bottom w:val="single" w:sz="4"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0</w:t>
            </w:r>
          </w:p>
        </w:tc>
        <w:tc>
          <w:tcPr>
            <w:tcW w:w="874" w:type="dxa"/>
            <w:tcBorders>
              <w:top w:val="single" w:sz="4" w:space="0" w:color="auto"/>
              <w:bottom w:val="single" w:sz="4"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0</w:t>
            </w:r>
          </w:p>
        </w:tc>
      </w:tr>
      <w:tr w:rsidR="006B52E6" w:rsidRPr="00020A0E" w:rsidTr="006B52E6">
        <w:trPr>
          <w:trHeight w:val="300"/>
          <w:jc w:val="center"/>
        </w:trPr>
        <w:tc>
          <w:tcPr>
            <w:tcW w:w="2671" w:type="dxa"/>
            <w:tcBorders>
              <w:right w:val="single" w:sz="18" w:space="0" w:color="auto"/>
            </w:tcBorders>
            <w:noWrap/>
            <w:tcMar>
              <w:left w:w="57" w:type="dxa"/>
              <w:right w:w="57" w:type="dxa"/>
            </w:tcMar>
            <w:vAlign w:val="center"/>
          </w:tcPr>
          <w:p w:rsidR="006B52E6" w:rsidRPr="00020A0E" w:rsidRDefault="006B52E6" w:rsidP="006B52E6">
            <w:pPr>
              <w:rPr>
                <w:rFonts w:eastAsia="Times New Roman" w:cs="Times New Roman"/>
                <w:b/>
                <w:color w:val="000000"/>
                <w:sz w:val="18"/>
                <w:szCs w:val="18"/>
                <w:lang w:eastAsia="en-GB"/>
              </w:rPr>
            </w:pPr>
            <w:r>
              <w:rPr>
                <w:rFonts w:eastAsia="Times New Roman" w:cs="Times New Roman"/>
                <w:b/>
                <w:color w:val="000000"/>
                <w:sz w:val="18"/>
                <w:szCs w:val="18"/>
                <w:lang w:eastAsia="en-GB"/>
              </w:rPr>
              <w:t>Total no of responses</w:t>
            </w:r>
          </w:p>
        </w:tc>
        <w:tc>
          <w:tcPr>
            <w:tcW w:w="850" w:type="dxa"/>
            <w:tcBorders>
              <w:top w:val="single" w:sz="4" w:space="0" w:color="auto"/>
              <w:left w:val="single" w:sz="18" w:space="0" w:color="auto"/>
              <w:bottom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r w:rsidRPr="006F1833">
              <w:rPr>
                <w:rFonts w:eastAsia="Times New Roman" w:cs="Times New Roman"/>
                <w:b/>
                <w:color w:val="92D050"/>
                <w:sz w:val="18"/>
                <w:szCs w:val="18"/>
                <w:lang w:eastAsia="en-GB"/>
              </w:rPr>
              <w:t>71</w:t>
            </w:r>
          </w:p>
        </w:tc>
        <w:tc>
          <w:tcPr>
            <w:tcW w:w="851" w:type="dxa"/>
            <w:tcBorders>
              <w:top w:val="single" w:sz="4" w:space="0" w:color="auto"/>
              <w:bottom w:val="single" w:sz="18"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92D050"/>
                <w:sz w:val="18"/>
                <w:szCs w:val="18"/>
                <w:lang w:eastAsia="en-GB"/>
              </w:rPr>
            </w:pPr>
          </w:p>
        </w:tc>
        <w:tc>
          <w:tcPr>
            <w:tcW w:w="850" w:type="dxa"/>
            <w:tcBorders>
              <w:top w:val="single" w:sz="4" w:space="0" w:color="auto"/>
              <w:left w:val="single" w:sz="18" w:space="0" w:color="auto"/>
              <w:bottom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r w:rsidRPr="006F1833">
              <w:rPr>
                <w:rFonts w:eastAsia="Times New Roman" w:cs="Times New Roman"/>
                <w:b/>
                <w:color w:val="0070C0"/>
                <w:sz w:val="18"/>
                <w:szCs w:val="18"/>
                <w:lang w:eastAsia="en-GB"/>
              </w:rPr>
              <w:t>63</w:t>
            </w:r>
          </w:p>
        </w:tc>
        <w:tc>
          <w:tcPr>
            <w:tcW w:w="772" w:type="dxa"/>
            <w:tcBorders>
              <w:top w:val="single" w:sz="4" w:space="0" w:color="auto"/>
              <w:bottom w:val="single" w:sz="18"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0070C0"/>
                <w:sz w:val="18"/>
                <w:szCs w:val="18"/>
                <w:lang w:eastAsia="en-GB"/>
              </w:rPr>
            </w:pPr>
          </w:p>
        </w:tc>
        <w:tc>
          <w:tcPr>
            <w:tcW w:w="787" w:type="dxa"/>
            <w:tcBorders>
              <w:top w:val="single" w:sz="4" w:space="0" w:color="auto"/>
              <w:left w:val="single" w:sz="18" w:space="0" w:color="auto"/>
              <w:bottom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r w:rsidRPr="006F1833">
              <w:rPr>
                <w:rFonts w:eastAsia="Times New Roman" w:cs="Times New Roman"/>
                <w:b/>
                <w:color w:val="FFC000"/>
                <w:sz w:val="18"/>
                <w:szCs w:val="18"/>
                <w:lang w:eastAsia="en-GB"/>
              </w:rPr>
              <w:t>17</w:t>
            </w:r>
          </w:p>
        </w:tc>
        <w:tc>
          <w:tcPr>
            <w:tcW w:w="851" w:type="dxa"/>
            <w:tcBorders>
              <w:top w:val="single" w:sz="4" w:space="0" w:color="auto"/>
              <w:bottom w:val="single" w:sz="18"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FFC000"/>
                <w:sz w:val="18"/>
                <w:szCs w:val="18"/>
                <w:lang w:eastAsia="en-GB"/>
              </w:rPr>
            </w:pPr>
          </w:p>
        </w:tc>
        <w:tc>
          <w:tcPr>
            <w:tcW w:w="850" w:type="dxa"/>
            <w:tcBorders>
              <w:top w:val="single" w:sz="4" w:space="0" w:color="auto"/>
              <w:left w:val="single" w:sz="18" w:space="0" w:color="auto"/>
              <w:bottom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r w:rsidRPr="006F1833">
              <w:rPr>
                <w:rFonts w:eastAsia="Times New Roman" w:cs="Times New Roman"/>
                <w:b/>
                <w:color w:val="7030A0"/>
                <w:sz w:val="18"/>
                <w:szCs w:val="18"/>
                <w:lang w:eastAsia="en-GB"/>
              </w:rPr>
              <w:t>25</w:t>
            </w:r>
          </w:p>
        </w:tc>
        <w:tc>
          <w:tcPr>
            <w:tcW w:w="874" w:type="dxa"/>
            <w:tcBorders>
              <w:top w:val="single" w:sz="4" w:space="0" w:color="auto"/>
              <w:bottom w:val="single" w:sz="18" w:space="0" w:color="auto"/>
              <w:right w:val="single" w:sz="18" w:space="0" w:color="auto"/>
            </w:tcBorders>
            <w:noWrap/>
            <w:tcMar>
              <w:left w:w="57" w:type="dxa"/>
              <w:right w:w="57" w:type="dxa"/>
            </w:tcMar>
            <w:vAlign w:val="center"/>
          </w:tcPr>
          <w:p w:rsidR="006B52E6" w:rsidRPr="006F1833" w:rsidRDefault="006B52E6" w:rsidP="006B52E6">
            <w:pPr>
              <w:jc w:val="right"/>
              <w:rPr>
                <w:rFonts w:eastAsia="Times New Roman" w:cs="Times New Roman"/>
                <w:b/>
                <w:color w:val="7030A0"/>
                <w:sz w:val="18"/>
                <w:szCs w:val="18"/>
                <w:lang w:eastAsia="en-GB"/>
              </w:rPr>
            </w:pPr>
          </w:p>
        </w:tc>
      </w:tr>
    </w:tbl>
    <w:p w:rsidR="006145AE" w:rsidRDefault="006145AE" w:rsidP="00F04820">
      <w:pPr>
        <w:tabs>
          <w:tab w:val="left" w:pos="7275"/>
        </w:tabs>
        <w:rPr>
          <w:b/>
          <w:bCs/>
        </w:rPr>
      </w:pPr>
    </w:p>
    <w:p w:rsidR="00F04820" w:rsidRPr="00F04820" w:rsidRDefault="00F04820" w:rsidP="00F04820">
      <w:pPr>
        <w:pStyle w:val="ListParagraph"/>
        <w:shd w:val="clear" w:color="auto" w:fill="DAEEF3" w:themeFill="accent5" w:themeFillTint="33"/>
        <w:ind w:left="0"/>
        <w:rPr>
          <w:b/>
        </w:rPr>
      </w:pPr>
      <w:r w:rsidRPr="00F04820">
        <w:rPr>
          <w:b/>
        </w:rPr>
        <w:t>The aggregated data shows:</w:t>
      </w:r>
    </w:p>
    <w:p w:rsidR="00F04820" w:rsidRDefault="00F04820" w:rsidP="00F04820">
      <w:pPr>
        <w:pStyle w:val="ListParagraph"/>
        <w:tabs>
          <w:tab w:val="left" w:pos="7275"/>
        </w:tabs>
        <w:rPr>
          <w:bCs/>
        </w:rPr>
      </w:pPr>
    </w:p>
    <w:p w:rsidR="00F04820" w:rsidRDefault="00F04820" w:rsidP="00F04820">
      <w:pPr>
        <w:pStyle w:val="ListParagraph"/>
        <w:numPr>
          <w:ilvl w:val="0"/>
          <w:numId w:val="16"/>
        </w:numPr>
        <w:tabs>
          <w:tab w:val="left" w:pos="7275"/>
        </w:tabs>
        <w:rPr>
          <w:bCs/>
        </w:rPr>
      </w:pPr>
      <w:r w:rsidRPr="00F04820">
        <w:rPr>
          <w:bCs/>
        </w:rPr>
        <w:t xml:space="preserve">The majority of students say they ‘definitely will’ or that </w:t>
      </w:r>
      <w:r>
        <w:rPr>
          <w:bCs/>
        </w:rPr>
        <w:t xml:space="preserve">it </w:t>
      </w:r>
      <w:r w:rsidRPr="00F04820">
        <w:rPr>
          <w:bCs/>
        </w:rPr>
        <w:t>is ‘fairly likely</w:t>
      </w:r>
      <w:r>
        <w:rPr>
          <w:bCs/>
        </w:rPr>
        <w:t>’ they will go on to HE.</w:t>
      </w:r>
    </w:p>
    <w:p w:rsidR="00F04820" w:rsidRPr="00F04820" w:rsidRDefault="00F04820" w:rsidP="00F04820">
      <w:pPr>
        <w:pStyle w:val="ListParagraph"/>
        <w:numPr>
          <w:ilvl w:val="0"/>
          <w:numId w:val="16"/>
        </w:numPr>
        <w:tabs>
          <w:tab w:val="left" w:pos="7275"/>
        </w:tabs>
        <w:rPr>
          <w:bCs/>
        </w:rPr>
      </w:pPr>
      <w:r w:rsidRPr="00F04820">
        <w:rPr>
          <w:bCs/>
        </w:rPr>
        <w:t>None said ‘definitely won’t.</w:t>
      </w:r>
    </w:p>
    <w:p w:rsidR="0005627B" w:rsidRPr="006B52E6" w:rsidRDefault="006B52E6" w:rsidP="006B52E6">
      <w:pPr>
        <w:tabs>
          <w:tab w:val="left" w:pos="7275"/>
        </w:tabs>
        <w:jc w:val="center"/>
        <w:rPr>
          <w:b/>
        </w:rPr>
      </w:pPr>
      <w:r w:rsidRPr="00FC2D3F">
        <w:rPr>
          <w:b/>
          <w:bCs/>
        </w:rPr>
        <w:t>Which of the following aspects of Higher Education (HE)</w:t>
      </w:r>
      <w:r>
        <w:rPr>
          <w:b/>
          <w:bCs/>
        </w:rPr>
        <w:t xml:space="preserve"> do you need to know more about</w:t>
      </w:r>
      <w:r>
        <w:rPr>
          <w:b/>
        </w:rPr>
        <w:t>?</w:t>
      </w:r>
    </w:p>
    <w:tbl>
      <w:tblPr>
        <w:tblStyle w:val="TableGrid"/>
        <w:tblW w:w="96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544"/>
        <w:gridCol w:w="709"/>
        <w:gridCol w:w="567"/>
        <w:gridCol w:w="709"/>
        <w:gridCol w:w="567"/>
        <w:gridCol w:w="709"/>
        <w:gridCol w:w="567"/>
        <w:gridCol w:w="708"/>
        <w:gridCol w:w="567"/>
        <w:gridCol w:w="969"/>
      </w:tblGrid>
      <w:tr w:rsidR="006B52E6" w:rsidRPr="00751C64" w:rsidTr="006B52E6">
        <w:trPr>
          <w:trHeight w:val="300"/>
          <w:jc w:val="center"/>
        </w:trPr>
        <w:tc>
          <w:tcPr>
            <w:tcW w:w="3544" w:type="dxa"/>
            <w:vMerge w:val="restart"/>
            <w:tcBorders>
              <w:top w:val="single" w:sz="18" w:space="0" w:color="auto"/>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000000"/>
                <w:sz w:val="18"/>
                <w:szCs w:val="18"/>
                <w:lang w:eastAsia="en-GB"/>
              </w:rPr>
            </w:pPr>
          </w:p>
        </w:tc>
        <w:tc>
          <w:tcPr>
            <w:tcW w:w="1276" w:type="dxa"/>
            <w:gridSpan w:val="2"/>
            <w:tcBorders>
              <w:top w:val="single" w:sz="18" w:space="0" w:color="auto"/>
              <w:left w:val="single" w:sz="18" w:space="0" w:color="auto"/>
              <w:bottom w:val="single" w:sz="6"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92D050"/>
                <w:sz w:val="18"/>
                <w:szCs w:val="18"/>
                <w:lang w:eastAsia="en-GB"/>
              </w:rPr>
            </w:pPr>
            <w:r w:rsidRPr="000360A7">
              <w:rPr>
                <w:rFonts w:eastAsia="Times New Roman" w:cs="Times New Roman"/>
                <w:b/>
                <w:color w:val="92D050"/>
                <w:sz w:val="18"/>
                <w:szCs w:val="18"/>
                <w:lang w:eastAsia="en-GB"/>
              </w:rPr>
              <w:t>Y10</w:t>
            </w:r>
          </w:p>
        </w:tc>
        <w:tc>
          <w:tcPr>
            <w:tcW w:w="1276" w:type="dxa"/>
            <w:gridSpan w:val="2"/>
            <w:tcBorders>
              <w:top w:val="single" w:sz="18" w:space="0" w:color="auto"/>
              <w:left w:val="single" w:sz="18"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0070C0"/>
                <w:sz w:val="18"/>
                <w:szCs w:val="18"/>
                <w:lang w:eastAsia="en-GB"/>
              </w:rPr>
            </w:pPr>
            <w:r w:rsidRPr="000360A7">
              <w:rPr>
                <w:rFonts w:eastAsia="Times New Roman" w:cs="Times New Roman"/>
                <w:b/>
                <w:color w:val="0070C0"/>
                <w:sz w:val="18"/>
                <w:szCs w:val="18"/>
                <w:lang w:eastAsia="en-GB"/>
              </w:rPr>
              <w:t>Y11</w:t>
            </w:r>
          </w:p>
        </w:tc>
        <w:tc>
          <w:tcPr>
            <w:tcW w:w="1276" w:type="dxa"/>
            <w:gridSpan w:val="2"/>
            <w:tcBorders>
              <w:top w:val="single" w:sz="18" w:space="0" w:color="auto"/>
              <w:left w:val="single" w:sz="18" w:space="0" w:color="auto"/>
              <w:bottom w:val="single" w:sz="6"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FFC000"/>
                <w:sz w:val="18"/>
                <w:szCs w:val="18"/>
                <w:lang w:eastAsia="en-GB"/>
              </w:rPr>
            </w:pPr>
            <w:r w:rsidRPr="000360A7">
              <w:rPr>
                <w:rFonts w:eastAsia="Times New Roman" w:cs="Times New Roman"/>
                <w:b/>
                <w:color w:val="FFC000"/>
                <w:sz w:val="18"/>
                <w:szCs w:val="18"/>
                <w:lang w:eastAsia="en-GB"/>
              </w:rPr>
              <w:t>Y12</w:t>
            </w:r>
          </w:p>
        </w:tc>
        <w:tc>
          <w:tcPr>
            <w:tcW w:w="1275" w:type="dxa"/>
            <w:gridSpan w:val="2"/>
            <w:tcBorders>
              <w:top w:val="single" w:sz="18" w:space="0" w:color="auto"/>
              <w:left w:val="single" w:sz="18" w:space="0" w:color="auto"/>
              <w:bottom w:val="single" w:sz="6" w:space="0" w:color="auto"/>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7030A0"/>
                <w:sz w:val="18"/>
                <w:szCs w:val="18"/>
                <w:lang w:eastAsia="en-GB"/>
              </w:rPr>
            </w:pPr>
            <w:r w:rsidRPr="00751C64">
              <w:rPr>
                <w:rFonts w:eastAsia="Times New Roman" w:cs="Times New Roman"/>
                <w:b/>
                <w:color w:val="7030A0"/>
                <w:sz w:val="18"/>
                <w:szCs w:val="18"/>
                <w:lang w:eastAsia="en-GB"/>
              </w:rPr>
              <w:t>Y13</w:t>
            </w:r>
          </w:p>
        </w:tc>
        <w:tc>
          <w:tcPr>
            <w:tcW w:w="969" w:type="dxa"/>
            <w:tcBorders>
              <w:top w:val="single" w:sz="18" w:space="0" w:color="auto"/>
              <w:lef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5F497A" w:themeColor="accent4" w:themeShade="BF"/>
                <w:sz w:val="18"/>
                <w:szCs w:val="18"/>
                <w:lang w:eastAsia="en-GB"/>
              </w:rPr>
            </w:pPr>
            <w:r w:rsidRPr="00751C64">
              <w:rPr>
                <w:rFonts w:eastAsia="Times New Roman" w:cs="Times New Roman"/>
                <w:b/>
                <w:color w:val="5F497A" w:themeColor="accent4" w:themeShade="BF"/>
                <w:sz w:val="18"/>
                <w:szCs w:val="18"/>
                <w:lang w:eastAsia="en-GB"/>
              </w:rPr>
              <w:t>All</w:t>
            </w:r>
          </w:p>
        </w:tc>
      </w:tr>
      <w:tr w:rsidR="006B52E6" w:rsidRPr="00751C64" w:rsidTr="006B52E6">
        <w:trPr>
          <w:trHeight w:val="300"/>
          <w:jc w:val="center"/>
        </w:trPr>
        <w:tc>
          <w:tcPr>
            <w:tcW w:w="3544" w:type="dxa"/>
            <w:vMerge/>
            <w:tcBorders>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000000"/>
                <w:sz w:val="16"/>
                <w:szCs w:val="18"/>
                <w:lang w:eastAsia="en-GB"/>
              </w:rPr>
            </w:pPr>
          </w:p>
        </w:tc>
        <w:tc>
          <w:tcPr>
            <w:tcW w:w="1276" w:type="dxa"/>
            <w:gridSpan w:val="2"/>
            <w:tcBorders>
              <w:top w:val="single" w:sz="6" w:space="0" w:color="auto"/>
              <w:left w:val="single" w:sz="18" w:space="0" w:color="auto"/>
              <w:bottom w:val="single" w:sz="6"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92D050"/>
                <w:sz w:val="16"/>
                <w:szCs w:val="18"/>
                <w:lang w:eastAsia="en-GB"/>
              </w:rPr>
            </w:pPr>
            <w:r>
              <w:rPr>
                <w:rFonts w:eastAsia="Times New Roman" w:cs="Times New Roman"/>
                <w:b/>
                <w:color w:val="92D050"/>
                <w:sz w:val="16"/>
                <w:szCs w:val="18"/>
                <w:lang w:eastAsia="en-GB"/>
              </w:rPr>
              <w:t>71</w:t>
            </w:r>
            <w:r w:rsidRPr="000360A7">
              <w:rPr>
                <w:rFonts w:eastAsia="Times New Roman" w:cs="Times New Roman"/>
                <w:b/>
                <w:color w:val="92D050"/>
                <w:sz w:val="16"/>
                <w:szCs w:val="18"/>
                <w:lang w:eastAsia="en-GB"/>
              </w:rPr>
              <w:t xml:space="preserve"> </w:t>
            </w:r>
            <w:r>
              <w:rPr>
                <w:rFonts w:eastAsia="Times New Roman" w:cs="Times New Roman"/>
                <w:b/>
                <w:color w:val="92D050"/>
                <w:sz w:val="16"/>
                <w:szCs w:val="18"/>
                <w:lang w:eastAsia="en-GB"/>
              </w:rPr>
              <w:t>responses</w:t>
            </w:r>
          </w:p>
        </w:tc>
        <w:tc>
          <w:tcPr>
            <w:tcW w:w="1276" w:type="dxa"/>
            <w:gridSpan w:val="2"/>
            <w:tcBorders>
              <w:left w:val="single" w:sz="18"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0070C0"/>
                <w:sz w:val="16"/>
                <w:szCs w:val="18"/>
                <w:lang w:eastAsia="en-GB"/>
              </w:rPr>
            </w:pPr>
            <w:r>
              <w:rPr>
                <w:rFonts w:eastAsia="Times New Roman" w:cs="Times New Roman"/>
                <w:b/>
                <w:color w:val="0070C0"/>
                <w:sz w:val="16"/>
                <w:szCs w:val="18"/>
                <w:lang w:eastAsia="en-GB"/>
              </w:rPr>
              <w:t>63</w:t>
            </w:r>
            <w:r w:rsidRPr="000360A7">
              <w:rPr>
                <w:rFonts w:eastAsia="Times New Roman" w:cs="Times New Roman"/>
                <w:b/>
                <w:color w:val="0070C0"/>
                <w:sz w:val="16"/>
                <w:szCs w:val="18"/>
                <w:lang w:eastAsia="en-GB"/>
              </w:rPr>
              <w:t xml:space="preserve"> </w:t>
            </w:r>
            <w:r>
              <w:rPr>
                <w:rFonts w:eastAsia="Times New Roman" w:cs="Times New Roman"/>
                <w:b/>
                <w:color w:val="0070C0"/>
                <w:sz w:val="16"/>
                <w:szCs w:val="18"/>
                <w:lang w:eastAsia="en-GB"/>
              </w:rPr>
              <w:t>responses</w:t>
            </w:r>
          </w:p>
        </w:tc>
        <w:tc>
          <w:tcPr>
            <w:tcW w:w="1276" w:type="dxa"/>
            <w:gridSpan w:val="2"/>
            <w:tcBorders>
              <w:top w:val="single" w:sz="6" w:space="0" w:color="auto"/>
              <w:left w:val="single" w:sz="18" w:space="0" w:color="auto"/>
              <w:bottom w:val="single" w:sz="6" w:space="0" w:color="auto"/>
              <w:right w:val="single" w:sz="18" w:space="0" w:color="auto"/>
            </w:tcBorders>
            <w:noWrap/>
            <w:tcMar>
              <w:left w:w="57" w:type="dxa"/>
              <w:right w:w="57" w:type="dxa"/>
            </w:tcMar>
            <w:vAlign w:val="center"/>
          </w:tcPr>
          <w:p w:rsidR="006B52E6" w:rsidRPr="000360A7" w:rsidRDefault="006B52E6" w:rsidP="006B52E6">
            <w:pPr>
              <w:jc w:val="center"/>
              <w:rPr>
                <w:rFonts w:eastAsia="Times New Roman" w:cs="Times New Roman"/>
                <w:b/>
                <w:color w:val="FFC000"/>
                <w:sz w:val="16"/>
                <w:szCs w:val="18"/>
                <w:lang w:eastAsia="en-GB"/>
              </w:rPr>
            </w:pPr>
            <w:r>
              <w:rPr>
                <w:rFonts w:eastAsia="Times New Roman" w:cs="Times New Roman"/>
                <w:b/>
                <w:color w:val="FFC000"/>
                <w:sz w:val="16"/>
                <w:szCs w:val="18"/>
                <w:lang w:eastAsia="en-GB"/>
              </w:rPr>
              <w:t>17</w:t>
            </w:r>
            <w:r w:rsidRPr="000360A7">
              <w:rPr>
                <w:rFonts w:eastAsia="Times New Roman" w:cs="Times New Roman"/>
                <w:b/>
                <w:color w:val="FFC000"/>
                <w:sz w:val="16"/>
                <w:szCs w:val="18"/>
                <w:lang w:eastAsia="en-GB"/>
              </w:rPr>
              <w:t xml:space="preserve"> </w:t>
            </w:r>
            <w:r>
              <w:rPr>
                <w:rFonts w:eastAsia="Times New Roman" w:cs="Times New Roman"/>
                <w:b/>
                <w:color w:val="FFC000"/>
                <w:sz w:val="16"/>
                <w:szCs w:val="18"/>
                <w:lang w:eastAsia="en-GB"/>
              </w:rPr>
              <w:t>responses</w:t>
            </w:r>
          </w:p>
        </w:tc>
        <w:tc>
          <w:tcPr>
            <w:tcW w:w="1275" w:type="dxa"/>
            <w:gridSpan w:val="2"/>
            <w:tcBorders>
              <w:top w:val="single" w:sz="6" w:space="0" w:color="auto"/>
              <w:left w:val="single" w:sz="18" w:space="0" w:color="auto"/>
              <w:bottom w:val="single" w:sz="6" w:space="0" w:color="auto"/>
              <w:righ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7030A0"/>
                <w:sz w:val="16"/>
                <w:szCs w:val="18"/>
                <w:lang w:eastAsia="en-GB"/>
              </w:rPr>
            </w:pPr>
            <w:r>
              <w:rPr>
                <w:rFonts w:eastAsia="Times New Roman" w:cs="Times New Roman"/>
                <w:b/>
                <w:color w:val="7030A0"/>
                <w:sz w:val="16"/>
                <w:szCs w:val="18"/>
                <w:lang w:eastAsia="en-GB"/>
              </w:rPr>
              <w:t>25</w:t>
            </w:r>
            <w:r w:rsidRPr="00751C64">
              <w:rPr>
                <w:rFonts w:eastAsia="Times New Roman" w:cs="Times New Roman"/>
                <w:b/>
                <w:color w:val="7030A0"/>
                <w:sz w:val="16"/>
                <w:szCs w:val="18"/>
                <w:lang w:eastAsia="en-GB"/>
              </w:rPr>
              <w:t xml:space="preserve"> </w:t>
            </w:r>
            <w:r>
              <w:rPr>
                <w:rFonts w:eastAsia="Times New Roman" w:cs="Times New Roman"/>
                <w:b/>
                <w:color w:val="7030A0"/>
                <w:sz w:val="16"/>
                <w:szCs w:val="18"/>
                <w:lang w:eastAsia="en-GB"/>
              </w:rPr>
              <w:t>responses</w:t>
            </w:r>
          </w:p>
        </w:tc>
        <w:tc>
          <w:tcPr>
            <w:tcW w:w="969" w:type="dxa"/>
            <w:tcBorders>
              <w:left w:val="single" w:sz="18" w:space="0" w:color="auto"/>
            </w:tcBorders>
            <w:noWrap/>
            <w:tcMar>
              <w:left w:w="57" w:type="dxa"/>
              <w:right w:w="57" w:type="dxa"/>
            </w:tcMar>
            <w:vAlign w:val="center"/>
          </w:tcPr>
          <w:p w:rsidR="006B52E6" w:rsidRPr="00751C64" w:rsidRDefault="006B52E6" w:rsidP="006B52E6">
            <w:pPr>
              <w:jc w:val="center"/>
              <w:rPr>
                <w:rFonts w:eastAsia="Times New Roman" w:cs="Times New Roman"/>
                <w:b/>
                <w:color w:val="5F497A" w:themeColor="accent4" w:themeShade="BF"/>
                <w:sz w:val="16"/>
                <w:szCs w:val="18"/>
                <w:lang w:eastAsia="en-GB"/>
              </w:rPr>
            </w:pPr>
            <w:r>
              <w:rPr>
                <w:rFonts w:eastAsia="Times New Roman" w:cs="Times New Roman"/>
                <w:b/>
                <w:color w:val="5F497A" w:themeColor="accent4" w:themeShade="BF"/>
                <w:sz w:val="16"/>
                <w:szCs w:val="18"/>
                <w:lang w:eastAsia="en-GB"/>
              </w:rPr>
              <w:t>176 responses</w:t>
            </w:r>
          </w:p>
        </w:tc>
      </w:tr>
      <w:tr w:rsidR="006B52E6" w:rsidRPr="003B0D2C" w:rsidTr="006B52E6">
        <w:trPr>
          <w:trHeight w:val="300"/>
          <w:jc w:val="center"/>
        </w:trPr>
        <w:tc>
          <w:tcPr>
            <w:tcW w:w="3544" w:type="dxa"/>
            <w:vMerge/>
            <w:tcBorders>
              <w:right w:val="single" w:sz="18" w:space="0" w:color="auto"/>
            </w:tcBorders>
            <w:noWrap/>
            <w:tcMar>
              <w:left w:w="57" w:type="dxa"/>
              <w:right w:w="57" w:type="dxa"/>
            </w:tcMar>
            <w:vAlign w:val="center"/>
          </w:tcPr>
          <w:p w:rsidR="006B52E6" w:rsidRPr="00E3109C" w:rsidRDefault="006B52E6" w:rsidP="006B52E6">
            <w:pPr>
              <w:jc w:val="center"/>
              <w:rPr>
                <w:rFonts w:eastAsia="Times New Roman" w:cs="Times New Roman"/>
                <w:b/>
                <w:color w:val="000000"/>
                <w:sz w:val="12"/>
                <w:szCs w:val="18"/>
                <w:lang w:eastAsia="en-GB"/>
              </w:rPr>
            </w:pPr>
          </w:p>
        </w:tc>
        <w:tc>
          <w:tcPr>
            <w:tcW w:w="709" w:type="dxa"/>
            <w:tcBorders>
              <w:top w:val="single" w:sz="6" w:space="0" w:color="auto"/>
              <w:left w:val="single" w:sz="18" w:space="0" w:color="auto"/>
              <w:bottom w:val="single" w:sz="6"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92D050"/>
                <w:sz w:val="12"/>
                <w:szCs w:val="12"/>
                <w:lang w:eastAsia="en-GB"/>
              </w:rPr>
            </w:pPr>
            <w:r>
              <w:rPr>
                <w:rFonts w:eastAsia="Times New Roman" w:cs="Times New Roman"/>
                <w:b/>
                <w:color w:val="92D050"/>
                <w:sz w:val="12"/>
                <w:szCs w:val="12"/>
                <w:lang w:eastAsia="en-GB"/>
              </w:rPr>
              <w:t>No.</w:t>
            </w:r>
          </w:p>
        </w:tc>
        <w:tc>
          <w:tcPr>
            <w:tcW w:w="567" w:type="dxa"/>
            <w:tcBorders>
              <w:top w:val="single" w:sz="6" w:space="0" w:color="auto"/>
              <w:bottom w:val="single" w:sz="6" w:space="0" w:color="auto"/>
              <w:righ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92D050"/>
                <w:sz w:val="12"/>
                <w:szCs w:val="12"/>
                <w:lang w:eastAsia="en-GB"/>
              </w:rPr>
            </w:pPr>
            <w:r w:rsidRPr="003B0D2C">
              <w:rPr>
                <w:rFonts w:eastAsia="Times New Roman" w:cs="Times New Roman"/>
                <w:b/>
                <w:color w:val="92D050"/>
                <w:sz w:val="12"/>
                <w:szCs w:val="12"/>
                <w:lang w:eastAsia="en-GB"/>
              </w:rPr>
              <w:t>%</w:t>
            </w:r>
          </w:p>
        </w:tc>
        <w:tc>
          <w:tcPr>
            <w:tcW w:w="709" w:type="dxa"/>
            <w:tcBorders>
              <w:lef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0070C0"/>
                <w:sz w:val="12"/>
                <w:szCs w:val="12"/>
                <w:lang w:eastAsia="en-GB"/>
              </w:rPr>
            </w:pPr>
            <w:r>
              <w:rPr>
                <w:rFonts w:eastAsia="Times New Roman" w:cs="Times New Roman"/>
                <w:b/>
                <w:color w:val="0070C0"/>
                <w:sz w:val="12"/>
                <w:szCs w:val="12"/>
                <w:lang w:eastAsia="en-GB"/>
              </w:rPr>
              <w:t>No.</w:t>
            </w:r>
          </w:p>
        </w:tc>
        <w:tc>
          <w:tcPr>
            <w:tcW w:w="567" w:type="dxa"/>
            <w:tcBorders>
              <w:righ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0070C0"/>
                <w:sz w:val="12"/>
                <w:szCs w:val="12"/>
                <w:lang w:eastAsia="en-GB"/>
              </w:rPr>
            </w:pPr>
            <w:r w:rsidRPr="003B0D2C">
              <w:rPr>
                <w:rFonts w:eastAsia="Times New Roman" w:cs="Times New Roman"/>
                <w:b/>
                <w:color w:val="0070C0"/>
                <w:sz w:val="12"/>
                <w:szCs w:val="12"/>
                <w:lang w:eastAsia="en-GB"/>
              </w:rPr>
              <w:t>%</w:t>
            </w:r>
          </w:p>
        </w:tc>
        <w:tc>
          <w:tcPr>
            <w:tcW w:w="709" w:type="dxa"/>
            <w:tcBorders>
              <w:top w:val="single" w:sz="6" w:space="0" w:color="auto"/>
              <w:left w:val="single" w:sz="18" w:space="0" w:color="auto"/>
              <w:bottom w:val="single" w:sz="6"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FFC000"/>
                <w:sz w:val="12"/>
                <w:szCs w:val="12"/>
                <w:lang w:eastAsia="en-GB"/>
              </w:rPr>
            </w:pPr>
            <w:r>
              <w:rPr>
                <w:rFonts w:eastAsia="Times New Roman" w:cs="Times New Roman"/>
                <w:b/>
                <w:color w:val="FFC000"/>
                <w:sz w:val="12"/>
                <w:szCs w:val="12"/>
                <w:lang w:eastAsia="en-GB"/>
              </w:rPr>
              <w:t>No.</w:t>
            </w:r>
          </w:p>
        </w:tc>
        <w:tc>
          <w:tcPr>
            <w:tcW w:w="567" w:type="dxa"/>
            <w:tcBorders>
              <w:top w:val="single" w:sz="6" w:space="0" w:color="auto"/>
              <w:bottom w:val="single" w:sz="6" w:space="0" w:color="auto"/>
              <w:righ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FFC000"/>
                <w:sz w:val="12"/>
                <w:szCs w:val="12"/>
                <w:lang w:eastAsia="en-GB"/>
              </w:rPr>
            </w:pPr>
            <w:r w:rsidRPr="003B0D2C">
              <w:rPr>
                <w:rFonts w:eastAsia="Times New Roman" w:cs="Times New Roman"/>
                <w:b/>
                <w:color w:val="FFC000"/>
                <w:sz w:val="12"/>
                <w:szCs w:val="12"/>
                <w:lang w:eastAsia="en-GB"/>
              </w:rPr>
              <w:t>%</w:t>
            </w:r>
          </w:p>
        </w:tc>
        <w:tc>
          <w:tcPr>
            <w:tcW w:w="708" w:type="dxa"/>
            <w:tcBorders>
              <w:top w:val="single" w:sz="6" w:space="0" w:color="auto"/>
              <w:left w:val="single" w:sz="18" w:space="0" w:color="auto"/>
              <w:bottom w:val="single" w:sz="6"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7030A0"/>
                <w:sz w:val="12"/>
                <w:szCs w:val="12"/>
                <w:lang w:eastAsia="en-GB"/>
              </w:rPr>
            </w:pPr>
            <w:r w:rsidRPr="003B0D2C">
              <w:rPr>
                <w:rFonts w:eastAsia="Times New Roman" w:cs="Times New Roman"/>
                <w:b/>
                <w:color w:val="7030A0"/>
                <w:sz w:val="12"/>
                <w:szCs w:val="12"/>
                <w:lang w:eastAsia="en-GB"/>
              </w:rPr>
              <w:t>Response</w:t>
            </w:r>
          </w:p>
        </w:tc>
        <w:tc>
          <w:tcPr>
            <w:tcW w:w="567" w:type="dxa"/>
            <w:tcBorders>
              <w:top w:val="single" w:sz="6" w:space="0" w:color="auto"/>
              <w:bottom w:val="single" w:sz="6" w:space="0" w:color="auto"/>
              <w:righ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7030A0"/>
                <w:sz w:val="12"/>
                <w:szCs w:val="12"/>
                <w:lang w:eastAsia="en-GB"/>
              </w:rPr>
            </w:pPr>
            <w:r w:rsidRPr="003B0D2C">
              <w:rPr>
                <w:rFonts w:eastAsia="Times New Roman" w:cs="Times New Roman"/>
                <w:b/>
                <w:color w:val="7030A0"/>
                <w:sz w:val="12"/>
                <w:szCs w:val="12"/>
                <w:lang w:eastAsia="en-GB"/>
              </w:rPr>
              <w:t>%</w:t>
            </w:r>
          </w:p>
        </w:tc>
        <w:tc>
          <w:tcPr>
            <w:tcW w:w="969" w:type="dxa"/>
            <w:tcBorders>
              <w:left w:val="single" w:sz="18" w:space="0" w:color="auto"/>
            </w:tcBorders>
            <w:noWrap/>
            <w:tcMar>
              <w:left w:w="57" w:type="dxa"/>
              <w:right w:w="57" w:type="dxa"/>
            </w:tcMar>
            <w:vAlign w:val="center"/>
          </w:tcPr>
          <w:p w:rsidR="006B52E6" w:rsidRPr="003B0D2C" w:rsidRDefault="006B52E6" w:rsidP="006B52E6">
            <w:pPr>
              <w:jc w:val="center"/>
              <w:rPr>
                <w:rFonts w:eastAsia="Times New Roman" w:cs="Times New Roman"/>
                <w:b/>
                <w:color w:val="5F497A" w:themeColor="accent4" w:themeShade="BF"/>
                <w:sz w:val="12"/>
                <w:szCs w:val="12"/>
                <w:lang w:eastAsia="en-GB"/>
              </w:rPr>
            </w:pPr>
            <w:r w:rsidRPr="003B0D2C">
              <w:rPr>
                <w:rFonts w:eastAsia="Times New Roman" w:cs="Times New Roman"/>
                <w:b/>
                <w:color w:val="5F497A" w:themeColor="accent4" w:themeShade="BF"/>
                <w:sz w:val="12"/>
                <w:szCs w:val="12"/>
                <w:lang w:eastAsia="en-GB"/>
              </w:rPr>
              <w:t xml:space="preserve">Total </w:t>
            </w:r>
            <w:r>
              <w:rPr>
                <w:rFonts w:eastAsia="Times New Roman" w:cs="Times New Roman"/>
                <w:b/>
                <w:color w:val="5F497A" w:themeColor="accent4" w:themeShade="BF"/>
                <w:sz w:val="12"/>
                <w:szCs w:val="12"/>
                <w:lang w:eastAsia="en-GB"/>
              </w:rPr>
              <w:t>Nos.</w:t>
            </w:r>
            <w:r w:rsidRPr="003B0D2C">
              <w:rPr>
                <w:rFonts w:eastAsia="Times New Roman" w:cs="Times New Roman"/>
                <w:b/>
                <w:color w:val="5F497A" w:themeColor="accent4" w:themeShade="BF"/>
                <w:sz w:val="12"/>
                <w:szCs w:val="12"/>
                <w:lang w:eastAsia="en-GB"/>
              </w:rPr>
              <w:t xml:space="preserve"> (ranked)</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How to choose the right course to study</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46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64.8</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29</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46.0</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35.3</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11</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44.0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92</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What student life would be like</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35</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49.3</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28</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44.4</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4</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23.5</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10</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40.0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77</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 xml:space="preserve">The financial support available </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30</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42.3</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32</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50.8</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35.3</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9</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36.0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77</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The different routes into HE e.g. apprenticeships, university, college</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32</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45.1</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30</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47.6</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1</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5.9</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7</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28.0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70</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How to apply</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39</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54.9</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21</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33.3</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4</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23.5</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24.0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70</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The options about studying near home and further away</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24</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33.8</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18</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28.6</w:t>
            </w:r>
          </w:p>
        </w:tc>
        <w:tc>
          <w:tcPr>
            <w:tcW w:w="709"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35.3</w:t>
            </w:r>
          </w:p>
        </w:tc>
        <w:tc>
          <w:tcPr>
            <w:tcW w:w="708" w:type="dxa"/>
            <w:tcBorders>
              <w:lef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6</w:t>
            </w:r>
          </w:p>
        </w:tc>
        <w:tc>
          <w:tcPr>
            <w:tcW w:w="567" w:type="dxa"/>
            <w:tcBorders>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24.0</w:t>
            </w:r>
          </w:p>
        </w:tc>
        <w:tc>
          <w:tcPr>
            <w:tcW w:w="969" w:type="dxa"/>
            <w:tcBorders>
              <w:left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54</w:t>
            </w:r>
          </w:p>
        </w:tc>
      </w:tr>
      <w:tr w:rsidR="006B52E6" w:rsidRPr="003F365A" w:rsidTr="006B52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4" w:type="dxa"/>
            <w:tcBorders>
              <w:left w:val="single" w:sz="18" w:space="0" w:color="auto"/>
              <w:bottom w:val="single" w:sz="18" w:space="0" w:color="auto"/>
              <w:right w:val="single" w:sz="18" w:space="0" w:color="auto"/>
            </w:tcBorders>
            <w:noWrap/>
            <w:tcMar>
              <w:left w:w="57" w:type="dxa"/>
              <w:right w:w="57" w:type="dxa"/>
            </w:tcMar>
            <w:vAlign w:val="center"/>
            <w:hideMark/>
          </w:tcPr>
          <w:p w:rsidR="006B52E6" w:rsidRPr="003F365A" w:rsidRDefault="006B52E6" w:rsidP="006B52E6">
            <w:pPr>
              <w:rPr>
                <w:rFonts w:ascii="Calibri" w:eastAsia="Times New Roman" w:hAnsi="Calibri" w:cs="Times New Roman"/>
                <w:color w:val="000000"/>
                <w:sz w:val="20"/>
                <w:szCs w:val="20"/>
                <w:lang w:eastAsia="en-GB"/>
              </w:rPr>
            </w:pPr>
            <w:r w:rsidRPr="003F365A">
              <w:rPr>
                <w:rFonts w:ascii="Calibri" w:eastAsia="Times New Roman" w:hAnsi="Calibri" w:cs="Times New Roman"/>
                <w:color w:val="000000"/>
                <w:sz w:val="20"/>
                <w:szCs w:val="20"/>
                <w:lang w:eastAsia="en-GB"/>
              </w:rPr>
              <w:t>Didn’t answer question</w:t>
            </w:r>
          </w:p>
        </w:tc>
        <w:tc>
          <w:tcPr>
            <w:tcW w:w="709" w:type="dxa"/>
            <w:tcBorders>
              <w:left w:val="single" w:sz="18" w:space="0" w:color="auto"/>
              <w:bottom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4</w:t>
            </w:r>
          </w:p>
        </w:tc>
        <w:tc>
          <w:tcPr>
            <w:tcW w:w="567" w:type="dxa"/>
            <w:tcBorders>
              <w:bottom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92D050"/>
                <w:sz w:val="20"/>
                <w:szCs w:val="20"/>
                <w:lang w:eastAsia="en-GB"/>
              </w:rPr>
            </w:pPr>
            <w:r w:rsidRPr="003F365A">
              <w:rPr>
                <w:rFonts w:ascii="Calibri" w:eastAsia="Times New Roman" w:hAnsi="Calibri" w:cs="Times New Roman"/>
                <w:b/>
                <w:color w:val="92D050"/>
                <w:sz w:val="20"/>
                <w:szCs w:val="20"/>
                <w:lang w:eastAsia="en-GB"/>
              </w:rPr>
              <w:t>5.6</w:t>
            </w:r>
          </w:p>
        </w:tc>
        <w:tc>
          <w:tcPr>
            <w:tcW w:w="709" w:type="dxa"/>
            <w:tcBorders>
              <w:left w:val="single" w:sz="18" w:space="0" w:color="auto"/>
              <w:bottom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2</w:t>
            </w:r>
          </w:p>
        </w:tc>
        <w:tc>
          <w:tcPr>
            <w:tcW w:w="567" w:type="dxa"/>
            <w:tcBorders>
              <w:bottom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0070C0"/>
                <w:sz w:val="20"/>
                <w:szCs w:val="20"/>
                <w:lang w:eastAsia="en-GB"/>
              </w:rPr>
            </w:pPr>
            <w:r w:rsidRPr="003F365A">
              <w:rPr>
                <w:rFonts w:ascii="Calibri" w:eastAsia="Times New Roman" w:hAnsi="Calibri" w:cs="Times New Roman"/>
                <w:b/>
                <w:color w:val="0070C0"/>
                <w:sz w:val="20"/>
                <w:szCs w:val="20"/>
                <w:lang w:eastAsia="en-GB"/>
              </w:rPr>
              <w:t>3.2</w:t>
            </w:r>
          </w:p>
        </w:tc>
        <w:tc>
          <w:tcPr>
            <w:tcW w:w="709" w:type="dxa"/>
            <w:tcBorders>
              <w:left w:val="single" w:sz="18" w:space="0" w:color="auto"/>
              <w:bottom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0</w:t>
            </w:r>
          </w:p>
        </w:tc>
        <w:tc>
          <w:tcPr>
            <w:tcW w:w="567" w:type="dxa"/>
            <w:tcBorders>
              <w:bottom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FFC000"/>
                <w:sz w:val="20"/>
                <w:szCs w:val="20"/>
                <w:lang w:eastAsia="en-GB"/>
              </w:rPr>
            </w:pPr>
            <w:r w:rsidRPr="003F365A">
              <w:rPr>
                <w:rFonts w:ascii="Calibri" w:eastAsia="Times New Roman" w:hAnsi="Calibri" w:cs="Times New Roman"/>
                <w:b/>
                <w:color w:val="FFC000"/>
                <w:sz w:val="20"/>
                <w:szCs w:val="20"/>
                <w:lang w:eastAsia="en-GB"/>
              </w:rPr>
              <w:t>0.0</w:t>
            </w:r>
          </w:p>
        </w:tc>
        <w:tc>
          <w:tcPr>
            <w:tcW w:w="708" w:type="dxa"/>
            <w:tcBorders>
              <w:left w:val="single" w:sz="18" w:space="0" w:color="auto"/>
              <w:bottom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2</w:t>
            </w:r>
          </w:p>
        </w:tc>
        <w:tc>
          <w:tcPr>
            <w:tcW w:w="567" w:type="dxa"/>
            <w:tcBorders>
              <w:bottom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7030A0"/>
                <w:sz w:val="20"/>
                <w:szCs w:val="20"/>
                <w:lang w:eastAsia="en-GB"/>
              </w:rPr>
            </w:pPr>
            <w:r w:rsidRPr="003F365A">
              <w:rPr>
                <w:rFonts w:ascii="Calibri" w:eastAsia="Times New Roman" w:hAnsi="Calibri" w:cs="Times New Roman"/>
                <w:b/>
                <w:color w:val="7030A0"/>
                <w:sz w:val="20"/>
                <w:szCs w:val="20"/>
                <w:lang w:eastAsia="en-GB"/>
              </w:rPr>
              <w:t>8.0</w:t>
            </w:r>
          </w:p>
        </w:tc>
        <w:tc>
          <w:tcPr>
            <w:tcW w:w="969" w:type="dxa"/>
            <w:tcBorders>
              <w:left w:val="single" w:sz="18" w:space="0" w:color="auto"/>
              <w:bottom w:val="single" w:sz="18" w:space="0" w:color="auto"/>
              <w:right w:val="single" w:sz="18" w:space="0" w:color="auto"/>
            </w:tcBorders>
            <w:noWrap/>
            <w:tcMar>
              <w:left w:w="57" w:type="dxa"/>
              <w:right w:w="57" w:type="dxa"/>
            </w:tcMar>
            <w:vAlign w:val="center"/>
            <w:hideMark/>
          </w:tcPr>
          <w:p w:rsidR="006B52E6" w:rsidRPr="003F365A" w:rsidRDefault="006B52E6" w:rsidP="006B52E6">
            <w:pPr>
              <w:jc w:val="right"/>
              <w:rPr>
                <w:rFonts w:ascii="Calibri" w:eastAsia="Times New Roman" w:hAnsi="Calibri" w:cs="Times New Roman"/>
                <w:b/>
                <w:color w:val="5F497A" w:themeColor="accent4" w:themeShade="BF"/>
                <w:sz w:val="20"/>
                <w:szCs w:val="20"/>
                <w:lang w:eastAsia="en-GB"/>
              </w:rPr>
            </w:pPr>
            <w:r w:rsidRPr="003F365A">
              <w:rPr>
                <w:rFonts w:ascii="Calibri" w:eastAsia="Times New Roman" w:hAnsi="Calibri" w:cs="Times New Roman"/>
                <w:b/>
                <w:color w:val="5F497A" w:themeColor="accent4" w:themeShade="BF"/>
                <w:sz w:val="20"/>
                <w:szCs w:val="20"/>
                <w:lang w:eastAsia="en-GB"/>
              </w:rPr>
              <w:t>8</w:t>
            </w:r>
          </w:p>
        </w:tc>
      </w:tr>
    </w:tbl>
    <w:p w:rsidR="006B52E6" w:rsidRDefault="006B52E6" w:rsidP="00B71AC8">
      <w:pPr>
        <w:pStyle w:val="ListParagraph"/>
        <w:ind w:left="0"/>
      </w:pPr>
    </w:p>
    <w:p w:rsidR="00F04820" w:rsidRPr="00F04820" w:rsidRDefault="00F04820" w:rsidP="00F04820">
      <w:pPr>
        <w:pStyle w:val="ListParagraph"/>
        <w:shd w:val="clear" w:color="auto" w:fill="DAEEF3" w:themeFill="accent5" w:themeFillTint="33"/>
        <w:ind w:left="0"/>
        <w:rPr>
          <w:b/>
        </w:rPr>
      </w:pPr>
      <w:r w:rsidRPr="00F04820">
        <w:rPr>
          <w:b/>
        </w:rPr>
        <w:t>The aggregated data shows:</w:t>
      </w:r>
    </w:p>
    <w:p w:rsidR="00F04820" w:rsidRDefault="00F04820" w:rsidP="00F04820">
      <w:pPr>
        <w:pStyle w:val="ListParagraph"/>
        <w:tabs>
          <w:tab w:val="left" w:pos="7275"/>
        </w:tabs>
        <w:rPr>
          <w:bCs/>
        </w:rPr>
      </w:pPr>
    </w:p>
    <w:p w:rsidR="00F04820" w:rsidRPr="00F04820" w:rsidRDefault="00F04820" w:rsidP="00F04820">
      <w:pPr>
        <w:pStyle w:val="ListParagraph"/>
        <w:numPr>
          <w:ilvl w:val="0"/>
          <w:numId w:val="16"/>
        </w:numPr>
        <w:tabs>
          <w:tab w:val="left" w:pos="7275"/>
        </w:tabs>
        <w:rPr>
          <w:bCs/>
        </w:rPr>
      </w:pPr>
      <w:r w:rsidRPr="00F04820">
        <w:rPr>
          <w:bCs/>
        </w:rPr>
        <w:t xml:space="preserve">The majority of students </w:t>
      </w:r>
      <w:r>
        <w:rPr>
          <w:bCs/>
        </w:rPr>
        <w:t>said they want help with choosing the right course, understanding what student life would be like and about financial support.</w:t>
      </w: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F04820" w:rsidRDefault="00F04820" w:rsidP="00B71AC8">
      <w:pPr>
        <w:pStyle w:val="ListParagraph"/>
        <w:ind w:left="0"/>
      </w:pPr>
    </w:p>
    <w:p w:rsidR="00084D50" w:rsidRPr="006B52E6" w:rsidRDefault="00BD12F2" w:rsidP="006B52E6">
      <w:pPr>
        <w:tabs>
          <w:tab w:val="left" w:pos="7275"/>
        </w:tabs>
        <w:spacing w:before="120" w:after="120" w:line="240" w:lineRule="auto"/>
        <w:jc w:val="center"/>
        <w:rPr>
          <w:b/>
        </w:rPr>
      </w:pPr>
      <w:r w:rsidRPr="006B52E6">
        <w:rPr>
          <w:b/>
        </w:rPr>
        <w:t xml:space="preserve"> ‘</w:t>
      </w:r>
      <w:r w:rsidR="006B52E6" w:rsidRPr="006B52E6">
        <w:rPr>
          <w:b/>
          <w:bCs/>
        </w:rPr>
        <w:t>What would put you off going on to do a Higher Education (HE) course in the future</w:t>
      </w:r>
      <w:r w:rsidR="006B52E6" w:rsidRPr="006B52E6">
        <w:rPr>
          <w:b/>
        </w:rPr>
        <w:t xml:space="preserve">? </w:t>
      </w:r>
    </w:p>
    <w:tbl>
      <w:tblPr>
        <w:tblStyle w:val="TableGrid"/>
        <w:tblW w:w="95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403"/>
        <w:gridCol w:w="831"/>
        <w:gridCol w:w="689"/>
        <w:gridCol w:w="530"/>
        <w:gridCol w:w="689"/>
        <w:gridCol w:w="488"/>
        <w:gridCol w:w="690"/>
        <w:gridCol w:w="519"/>
        <w:gridCol w:w="689"/>
        <w:gridCol w:w="1006"/>
      </w:tblGrid>
      <w:tr w:rsidR="006B52E6" w:rsidRPr="003F365A" w:rsidTr="006145AE">
        <w:trPr>
          <w:trHeight w:val="300"/>
          <w:jc w:val="center"/>
        </w:trPr>
        <w:tc>
          <w:tcPr>
            <w:tcW w:w="3403" w:type="dxa"/>
            <w:vMerge w:val="restart"/>
            <w:tcBorders>
              <w:right w:val="single" w:sz="18" w:space="0" w:color="auto"/>
            </w:tcBorders>
            <w:noWrap/>
            <w:vAlign w:val="center"/>
          </w:tcPr>
          <w:p w:rsidR="006B52E6" w:rsidRPr="003F365A" w:rsidRDefault="006B52E6" w:rsidP="006B52E6">
            <w:pPr>
              <w:jc w:val="center"/>
              <w:rPr>
                <w:rFonts w:eastAsia="Times New Roman" w:cs="Times New Roman"/>
                <w:b/>
                <w:color w:val="000000"/>
                <w:sz w:val="20"/>
                <w:szCs w:val="20"/>
                <w:lang w:eastAsia="en-GB"/>
              </w:rPr>
            </w:pPr>
          </w:p>
        </w:tc>
        <w:tc>
          <w:tcPr>
            <w:tcW w:w="1520" w:type="dxa"/>
            <w:gridSpan w:val="2"/>
            <w:tcBorders>
              <w:top w:val="single" w:sz="18"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Y10</w:t>
            </w:r>
          </w:p>
        </w:tc>
        <w:tc>
          <w:tcPr>
            <w:tcW w:w="1219" w:type="dxa"/>
            <w:gridSpan w:val="2"/>
            <w:tcBorders>
              <w:left w:val="single" w:sz="18" w:space="0" w:color="auto"/>
              <w:right w:val="single" w:sz="18" w:space="0" w:color="auto"/>
            </w:tcBorders>
            <w:noWrap/>
            <w:vAlign w:val="center"/>
          </w:tcPr>
          <w:p w:rsidR="006B52E6" w:rsidRPr="003F365A" w:rsidRDefault="006B52E6" w:rsidP="006B52E6">
            <w:pPr>
              <w:jc w:val="center"/>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Y11</w:t>
            </w:r>
          </w:p>
        </w:tc>
        <w:tc>
          <w:tcPr>
            <w:tcW w:w="1178" w:type="dxa"/>
            <w:gridSpan w:val="2"/>
            <w:tcBorders>
              <w:top w:val="single" w:sz="18"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Y12</w:t>
            </w:r>
          </w:p>
        </w:tc>
        <w:tc>
          <w:tcPr>
            <w:tcW w:w="1208" w:type="dxa"/>
            <w:gridSpan w:val="2"/>
            <w:tcBorders>
              <w:top w:val="single" w:sz="18"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Y13</w:t>
            </w:r>
          </w:p>
        </w:tc>
        <w:tc>
          <w:tcPr>
            <w:tcW w:w="1006" w:type="dxa"/>
            <w:tcBorders>
              <w:left w:val="single" w:sz="18" w:space="0" w:color="auto"/>
            </w:tcBorders>
            <w:noWrap/>
            <w:vAlign w:val="center"/>
          </w:tcPr>
          <w:p w:rsidR="006B52E6" w:rsidRPr="003F365A" w:rsidRDefault="006B52E6" w:rsidP="006B52E6">
            <w:pPr>
              <w:jc w:val="center"/>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All</w:t>
            </w:r>
          </w:p>
        </w:tc>
      </w:tr>
      <w:tr w:rsidR="006B52E6" w:rsidRPr="003F365A" w:rsidTr="006145AE">
        <w:trPr>
          <w:trHeight w:val="300"/>
          <w:jc w:val="center"/>
        </w:trPr>
        <w:tc>
          <w:tcPr>
            <w:tcW w:w="3403" w:type="dxa"/>
            <w:vMerge/>
            <w:tcBorders>
              <w:right w:val="single" w:sz="18" w:space="0" w:color="auto"/>
            </w:tcBorders>
            <w:noWrap/>
            <w:vAlign w:val="center"/>
          </w:tcPr>
          <w:p w:rsidR="006B52E6" w:rsidRPr="003F365A" w:rsidRDefault="006B52E6" w:rsidP="006B52E6">
            <w:pPr>
              <w:jc w:val="center"/>
              <w:rPr>
                <w:rFonts w:eastAsia="Times New Roman" w:cs="Times New Roman"/>
                <w:b/>
                <w:color w:val="000000"/>
                <w:sz w:val="20"/>
                <w:szCs w:val="20"/>
                <w:lang w:eastAsia="en-GB"/>
              </w:rPr>
            </w:pPr>
          </w:p>
        </w:tc>
        <w:tc>
          <w:tcPr>
            <w:tcW w:w="1520" w:type="dxa"/>
            <w:gridSpan w:val="2"/>
            <w:tcBorders>
              <w:top w:val="single" w:sz="6"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71 responses</w:t>
            </w:r>
          </w:p>
        </w:tc>
        <w:tc>
          <w:tcPr>
            <w:tcW w:w="1219" w:type="dxa"/>
            <w:gridSpan w:val="2"/>
            <w:tcBorders>
              <w:left w:val="single" w:sz="18" w:space="0" w:color="auto"/>
              <w:right w:val="single" w:sz="18" w:space="0" w:color="auto"/>
            </w:tcBorders>
            <w:noWrap/>
            <w:vAlign w:val="center"/>
          </w:tcPr>
          <w:p w:rsidR="006B52E6" w:rsidRPr="003F365A" w:rsidRDefault="006B52E6" w:rsidP="006B52E6">
            <w:pPr>
              <w:jc w:val="center"/>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63 responses</w:t>
            </w:r>
          </w:p>
        </w:tc>
        <w:tc>
          <w:tcPr>
            <w:tcW w:w="1178" w:type="dxa"/>
            <w:gridSpan w:val="2"/>
            <w:tcBorders>
              <w:top w:val="single" w:sz="6"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17 responses</w:t>
            </w:r>
          </w:p>
        </w:tc>
        <w:tc>
          <w:tcPr>
            <w:tcW w:w="1208" w:type="dxa"/>
            <w:gridSpan w:val="2"/>
            <w:tcBorders>
              <w:top w:val="single" w:sz="6" w:space="0" w:color="auto"/>
              <w:left w:val="single" w:sz="18"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25 responses</w:t>
            </w:r>
          </w:p>
        </w:tc>
        <w:tc>
          <w:tcPr>
            <w:tcW w:w="1006" w:type="dxa"/>
            <w:tcBorders>
              <w:left w:val="single" w:sz="18" w:space="0" w:color="auto"/>
            </w:tcBorders>
            <w:noWrap/>
            <w:vAlign w:val="center"/>
          </w:tcPr>
          <w:p w:rsidR="006B52E6" w:rsidRPr="003F365A" w:rsidRDefault="006B52E6" w:rsidP="006B52E6">
            <w:pPr>
              <w:jc w:val="center"/>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176 responses</w:t>
            </w:r>
          </w:p>
        </w:tc>
      </w:tr>
      <w:tr w:rsidR="006B52E6" w:rsidRPr="003F365A" w:rsidTr="006145AE">
        <w:trPr>
          <w:trHeight w:val="300"/>
          <w:jc w:val="center"/>
        </w:trPr>
        <w:tc>
          <w:tcPr>
            <w:tcW w:w="3403" w:type="dxa"/>
            <w:vMerge/>
            <w:tcBorders>
              <w:right w:val="single" w:sz="18" w:space="0" w:color="auto"/>
            </w:tcBorders>
            <w:noWrap/>
            <w:vAlign w:val="center"/>
          </w:tcPr>
          <w:p w:rsidR="006B52E6" w:rsidRPr="003F365A" w:rsidRDefault="006B52E6" w:rsidP="006B52E6">
            <w:pPr>
              <w:jc w:val="center"/>
              <w:rPr>
                <w:rFonts w:eastAsia="Times New Roman" w:cs="Times New Roman"/>
                <w:b/>
                <w:color w:val="000000"/>
                <w:sz w:val="20"/>
                <w:szCs w:val="20"/>
                <w:lang w:eastAsia="en-GB"/>
              </w:rPr>
            </w:pPr>
          </w:p>
        </w:tc>
        <w:tc>
          <w:tcPr>
            <w:tcW w:w="831" w:type="dxa"/>
            <w:tcBorders>
              <w:top w:val="single" w:sz="6" w:space="0" w:color="auto"/>
              <w:left w:val="single" w:sz="18" w:space="0" w:color="auto"/>
              <w:bottom w:val="single" w:sz="6" w:space="0" w:color="auto"/>
            </w:tcBorders>
            <w:noWrap/>
            <w:vAlign w:val="center"/>
          </w:tcPr>
          <w:p w:rsidR="006B52E6" w:rsidRPr="003F365A" w:rsidRDefault="006B52E6" w:rsidP="006B52E6">
            <w:pPr>
              <w:jc w:val="center"/>
              <w:rPr>
                <w:rFonts w:eastAsia="Times New Roman" w:cs="Times New Roman"/>
                <w:b/>
                <w:color w:val="92D050"/>
                <w:sz w:val="16"/>
                <w:szCs w:val="16"/>
                <w:lang w:eastAsia="en-GB"/>
              </w:rPr>
            </w:pPr>
            <w:r>
              <w:rPr>
                <w:rFonts w:eastAsia="Times New Roman" w:cs="Times New Roman"/>
                <w:b/>
                <w:color w:val="92D050"/>
                <w:sz w:val="16"/>
                <w:szCs w:val="16"/>
                <w:lang w:eastAsia="en-GB"/>
              </w:rPr>
              <w:t>No.</w:t>
            </w:r>
          </w:p>
        </w:tc>
        <w:tc>
          <w:tcPr>
            <w:tcW w:w="689" w:type="dxa"/>
            <w:tcBorders>
              <w:top w:val="single" w:sz="6"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92D050"/>
                <w:sz w:val="16"/>
                <w:szCs w:val="16"/>
                <w:lang w:eastAsia="en-GB"/>
              </w:rPr>
            </w:pPr>
            <w:r w:rsidRPr="003F365A">
              <w:rPr>
                <w:rFonts w:eastAsia="Times New Roman" w:cs="Times New Roman"/>
                <w:b/>
                <w:color w:val="92D050"/>
                <w:sz w:val="16"/>
                <w:szCs w:val="16"/>
                <w:lang w:eastAsia="en-GB"/>
              </w:rPr>
              <w:t>%</w:t>
            </w:r>
          </w:p>
        </w:tc>
        <w:tc>
          <w:tcPr>
            <w:tcW w:w="530" w:type="dxa"/>
            <w:tcBorders>
              <w:left w:val="single" w:sz="18" w:space="0" w:color="auto"/>
            </w:tcBorders>
            <w:noWrap/>
            <w:vAlign w:val="center"/>
          </w:tcPr>
          <w:p w:rsidR="006B52E6" w:rsidRPr="003F365A" w:rsidRDefault="006B52E6" w:rsidP="006B52E6">
            <w:pPr>
              <w:jc w:val="center"/>
              <w:rPr>
                <w:rFonts w:eastAsia="Times New Roman" w:cs="Times New Roman"/>
                <w:b/>
                <w:color w:val="0070C0"/>
                <w:sz w:val="16"/>
                <w:szCs w:val="16"/>
                <w:lang w:eastAsia="en-GB"/>
              </w:rPr>
            </w:pPr>
            <w:r>
              <w:rPr>
                <w:rFonts w:eastAsia="Times New Roman" w:cs="Times New Roman"/>
                <w:b/>
                <w:color w:val="0070C0"/>
                <w:sz w:val="16"/>
                <w:szCs w:val="16"/>
                <w:lang w:eastAsia="en-GB"/>
              </w:rPr>
              <w:t>No.</w:t>
            </w:r>
          </w:p>
        </w:tc>
        <w:tc>
          <w:tcPr>
            <w:tcW w:w="689" w:type="dxa"/>
            <w:tcBorders>
              <w:right w:val="single" w:sz="18" w:space="0" w:color="auto"/>
            </w:tcBorders>
            <w:noWrap/>
            <w:vAlign w:val="center"/>
          </w:tcPr>
          <w:p w:rsidR="006B52E6" w:rsidRPr="003F365A" w:rsidRDefault="006B52E6" w:rsidP="006B52E6">
            <w:pPr>
              <w:jc w:val="center"/>
              <w:rPr>
                <w:rFonts w:eastAsia="Times New Roman" w:cs="Times New Roman"/>
                <w:b/>
                <w:color w:val="0070C0"/>
                <w:sz w:val="16"/>
                <w:szCs w:val="16"/>
                <w:lang w:eastAsia="en-GB"/>
              </w:rPr>
            </w:pPr>
            <w:r w:rsidRPr="003F365A">
              <w:rPr>
                <w:rFonts w:eastAsia="Times New Roman" w:cs="Times New Roman"/>
                <w:b/>
                <w:color w:val="0070C0"/>
                <w:sz w:val="16"/>
                <w:szCs w:val="16"/>
                <w:lang w:eastAsia="en-GB"/>
              </w:rPr>
              <w:t>%</w:t>
            </w:r>
          </w:p>
        </w:tc>
        <w:tc>
          <w:tcPr>
            <w:tcW w:w="488" w:type="dxa"/>
            <w:tcBorders>
              <w:top w:val="single" w:sz="6" w:space="0" w:color="auto"/>
              <w:left w:val="single" w:sz="18" w:space="0" w:color="auto"/>
              <w:bottom w:val="single" w:sz="6" w:space="0" w:color="auto"/>
            </w:tcBorders>
            <w:noWrap/>
            <w:vAlign w:val="center"/>
          </w:tcPr>
          <w:p w:rsidR="006B52E6" w:rsidRPr="003F365A" w:rsidRDefault="006B52E6" w:rsidP="006B52E6">
            <w:pPr>
              <w:jc w:val="center"/>
              <w:rPr>
                <w:rFonts w:eastAsia="Times New Roman" w:cs="Times New Roman"/>
                <w:b/>
                <w:color w:val="FFC000"/>
                <w:sz w:val="16"/>
                <w:szCs w:val="16"/>
                <w:lang w:eastAsia="en-GB"/>
              </w:rPr>
            </w:pPr>
            <w:r>
              <w:rPr>
                <w:rFonts w:eastAsia="Times New Roman" w:cs="Times New Roman"/>
                <w:b/>
                <w:color w:val="FFC000"/>
                <w:sz w:val="16"/>
                <w:szCs w:val="16"/>
                <w:lang w:eastAsia="en-GB"/>
              </w:rPr>
              <w:t>No</w:t>
            </w:r>
          </w:p>
        </w:tc>
        <w:tc>
          <w:tcPr>
            <w:tcW w:w="690" w:type="dxa"/>
            <w:tcBorders>
              <w:top w:val="single" w:sz="6"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FFC000"/>
                <w:sz w:val="16"/>
                <w:szCs w:val="16"/>
                <w:lang w:eastAsia="en-GB"/>
              </w:rPr>
            </w:pPr>
            <w:r w:rsidRPr="003F365A">
              <w:rPr>
                <w:rFonts w:eastAsia="Times New Roman" w:cs="Times New Roman"/>
                <w:b/>
                <w:color w:val="FFC000"/>
                <w:sz w:val="16"/>
                <w:szCs w:val="16"/>
                <w:lang w:eastAsia="en-GB"/>
              </w:rPr>
              <w:t>%</w:t>
            </w:r>
          </w:p>
        </w:tc>
        <w:tc>
          <w:tcPr>
            <w:tcW w:w="519" w:type="dxa"/>
            <w:tcBorders>
              <w:top w:val="single" w:sz="6" w:space="0" w:color="auto"/>
              <w:left w:val="single" w:sz="18" w:space="0" w:color="auto"/>
              <w:bottom w:val="single" w:sz="6" w:space="0" w:color="auto"/>
            </w:tcBorders>
            <w:noWrap/>
            <w:vAlign w:val="center"/>
          </w:tcPr>
          <w:p w:rsidR="006B52E6" w:rsidRPr="003F365A" w:rsidRDefault="006B52E6" w:rsidP="006B52E6">
            <w:pPr>
              <w:jc w:val="center"/>
              <w:rPr>
                <w:rFonts w:eastAsia="Times New Roman" w:cs="Times New Roman"/>
                <w:b/>
                <w:color w:val="7030A0"/>
                <w:sz w:val="16"/>
                <w:szCs w:val="16"/>
                <w:lang w:eastAsia="en-GB"/>
              </w:rPr>
            </w:pPr>
            <w:r>
              <w:rPr>
                <w:rFonts w:eastAsia="Times New Roman" w:cs="Times New Roman"/>
                <w:b/>
                <w:color w:val="7030A0"/>
                <w:sz w:val="16"/>
                <w:szCs w:val="16"/>
                <w:lang w:eastAsia="en-GB"/>
              </w:rPr>
              <w:t>No</w:t>
            </w:r>
          </w:p>
        </w:tc>
        <w:tc>
          <w:tcPr>
            <w:tcW w:w="689" w:type="dxa"/>
            <w:tcBorders>
              <w:top w:val="single" w:sz="6" w:space="0" w:color="auto"/>
              <w:bottom w:val="single" w:sz="6" w:space="0" w:color="auto"/>
              <w:right w:val="single" w:sz="18" w:space="0" w:color="auto"/>
            </w:tcBorders>
            <w:noWrap/>
            <w:vAlign w:val="center"/>
          </w:tcPr>
          <w:p w:rsidR="006B52E6" w:rsidRPr="003F365A" w:rsidRDefault="006B52E6" w:rsidP="006B52E6">
            <w:pPr>
              <w:jc w:val="center"/>
              <w:rPr>
                <w:rFonts w:eastAsia="Times New Roman" w:cs="Times New Roman"/>
                <w:b/>
                <w:color w:val="7030A0"/>
                <w:sz w:val="16"/>
                <w:szCs w:val="16"/>
                <w:lang w:eastAsia="en-GB"/>
              </w:rPr>
            </w:pPr>
            <w:r w:rsidRPr="003F365A">
              <w:rPr>
                <w:rFonts w:eastAsia="Times New Roman" w:cs="Times New Roman"/>
                <w:b/>
                <w:color w:val="7030A0"/>
                <w:sz w:val="16"/>
                <w:szCs w:val="16"/>
                <w:lang w:eastAsia="en-GB"/>
              </w:rPr>
              <w:t>%</w:t>
            </w:r>
          </w:p>
        </w:tc>
        <w:tc>
          <w:tcPr>
            <w:tcW w:w="1006" w:type="dxa"/>
            <w:tcBorders>
              <w:left w:val="single" w:sz="18" w:space="0" w:color="auto"/>
            </w:tcBorders>
            <w:noWrap/>
            <w:vAlign w:val="center"/>
          </w:tcPr>
          <w:p w:rsidR="006B52E6" w:rsidRPr="003F365A" w:rsidRDefault="006B52E6" w:rsidP="006B52E6">
            <w:pPr>
              <w:jc w:val="center"/>
              <w:rPr>
                <w:rFonts w:eastAsia="Times New Roman" w:cs="Times New Roman"/>
                <w:b/>
                <w:color w:val="5F497A" w:themeColor="accent4" w:themeShade="BF"/>
                <w:sz w:val="16"/>
                <w:szCs w:val="16"/>
                <w:lang w:eastAsia="en-GB"/>
              </w:rPr>
            </w:pPr>
            <w:r w:rsidRPr="003F365A">
              <w:rPr>
                <w:rFonts w:eastAsia="Times New Roman" w:cs="Times New Roman"/>
                <w:b/>
                <w:color w:val="5F497A" w:themeColor="accent4" w:themeShade="BF"/>
                <w:sz w:val="16"/>
                <w:szCs w:val="16"/>
                <w:lang w:eastAsia="en-GB"/>
              </w:rPr>
              <w:t xml:space="preserve">Total </w:t>
            </w:r>
            <w:r>
              <w:rPr>
                <w:rFonts w:eastAsia="Times New Roman" w:cs="Times New Roman"/>
                <w:b/>
                <w:color w:val="5F497A" w:themeColor="accent4" w:themeShade="BF"/>
                <w:sz w:val="16"/>
                <w:szCs w:val="16"/>
                <w:lang w:eastAsia="en-GB"/>
              </w:rPr>
              <w:t xml:space="preserve">Nos. </w:t>
            </w:r>
            <w:r w:rsidRPr="003F365A">
              <w:rPr>
                <w:rFonts w:eastAsia="Times New Roman" w:cs="Times New Roman"/>
                <w:b/>
                <w:color w:val="5F497A" w:themeColor="accent4" w:themeShade="BF"/>
                <w:sz w:val="16"/>
                <w:szCs w:val="16"/>
                <w:lang w:eastAsia="en-GB"/>
              </w:rPr>
              <w:t>(ranked)</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might not get the grades</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48</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67.6</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35</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55.6</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3</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17.6</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15</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60.0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101</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don't think I can afford it</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18</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25.4</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15</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23.8</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1</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5.9</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4</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16.0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38</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don't know anyone else who has gone onto HE</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16</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22.5</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9</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14.3</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1</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5.9</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4.0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27</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am worried I won't fit in</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17</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23.9</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1</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1.6</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5</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20.0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23</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Didn't answer question</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9.9</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8</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12.7</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4</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23.5</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3</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12.0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22</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don't think it will be useful to me</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9.9</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4</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6.3</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4</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16.0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15</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don't need a HE qualification for my chosen job/career</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5</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7.0</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6</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9.5</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3</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12.0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14</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don't want to move away from home</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9.9</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5</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7.9</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2</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8.0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14</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am not sure there will be support for my disability</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5</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7.0</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2</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3.2</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0</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0.0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7</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wouldn't have the support of my family</w:t>
            </w:r>
          </w:p>
        </w:tc>
        <w:tc>
          <w:tcPr>
            <w:tcW w:w="831"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5</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7.0</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0</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0.0</w:t>
            </w:r>
          </w:p>
        </w:tc>
        <w:tc>
          <w:tcPr>
            <w:tcW w:w="488"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6"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1</w:t>
            </w:r>
          </w:p>
        </w:tc>
        <w:tc>
          <w:tcPr>
            <w:tcW w:w="689" w:type="dxa"/>
            <w:tcBorders>
              <w:top w:val="single" w:sz="6" w:space="0" w:color="auto"/>
              <w:bottom w:val="single" w:sz="6"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4.0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6</w:t>
            </w:r>
          </w:p>
        </w:tc>
      </w:tr>
      <w:tr w:rsidR="006B52E6" w:rsidRPr="003F365A" w:rsidTr="006145AE">
        <w:trPr>
          <w:trHeight w:val="300"/>
          <w:jc w:val="center"/>
        </w:trPr>
        <w:tc>
          <w:tcPr>
            <w:tcW w:w="3403" w:type="dxa"/>
            <w:tcBorders>
              <w:right w:val="single" w:sz="18" w:space="0" w:color="auto"/>
            </w:tcBorders>
            <w:noWrap/>
            <w:vAlign w:val="center"/>
            <w:hideMark/>
          </w:tcPr>
          <w:p w:rsidR="006B52E6" w:rsidRPr="003F365A" w:rsidRDefault="006B52E6" w:rsidP="006B52E6">
            <w:pPr>
              <w:rPr>
                <w:rFonts w:eastAsia="Times New Roman" w:cs="Times New Roman"/>
                <w:color w:val="000000"/>
                <w:sz w:val="20"/>
                <w:szCs w:val="20"/>
                <w:lang w:eastAsia="en-GB"/>
              </w:rPr>
            </w:pPr>
            <w:r w:rsidRPr="003F365A">
              <w:rPr>
                <w:rFonts w:eastAsia="Times New Roman" w:cs="Times New Roman"/>
                <w:color w:val="000000"/>
                <w:sz w:val="20"/>
                <w:szCs w:val="20"/>
                <w:lang w:eastAsia="en-GB"/>
              </w:rPr>
              <w:t>I can't leave home because I care for someone</w:t>
            </w:r>
          </w:p>
        </w:tc>
        <w:tc>
          <w:tcPr>
            <w:tcW w:w="831" w:type="dxa"/>
            <w:tcBorders>
              <w:top w:val="single" w:sz="6" w:space="0" w:color="auto"/>
              <w:left w:val="single" w:sz="18" w:space="0" w:color="auto"/>
              <w:bottom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3</w:t>
            </w:r>
          </w:p>
        </w:tc>
        <w:tc>
          <w:tcPr>
            <w:tcW w:w="689" w:type="dxa"/>
            <w:tcBorders>
              <w:top w:val="single" w:sz="6" w:space="0" w:color="auto"/>
              <w:bottom w:val="single" w:sz="18" w:space="0" w:color="auto"/>
              <w:right w:val="single" w:sz="18" w:space="0" w:color="auto"/>
            </w:tcBorders>
            <w:noWrap/>
            <w:vAlign w:val="center"/>
            <w:hideMark/>
          </w:tcPr>
          <w:p w:rsidR="006B52E6" w:rsidRPr="003F365A" w:rsidRDefault="006B52E6" w:rsidP="006B52E6">
            <w:pPr>
              <w:jc w:val="right"/>
              <w:rPr>
                <w:rFonts w:eastAsia="Times New Roman" w:cs="Times New Roman"/>
                <w:b/>
                <w:color w:val="92D050"/>
                <w:sz w:val="20"/>
                <w:szCs w:val="20"/>
                <w:lang w:eastAsia="en-GB"/>
              </w:rPr>
            </w:pPr>
            <w:r w:rsidRPr="003F365A">
              <w:rPr>
                <w:rFonts w:eastAsia="Times New Roman" w:cs="Times New Roman"/>
                <w:b/>
                <w:color w:val="92D050"/>
                <w:sz w:val="20"/>
                <w:szCs w:val="20"/>
                <w:lang w:eastAsia="en-GB"/>
              </w:rPr>
              <w:t>4.2</w:t>
            </w:r>
          </w:p>
        </w:tc>
        <w:tc>
          <w:tcPr>
            <w:tcW w:w="530" w:type="dxa"/>
            <w:tcBorders>
              <w:lef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0</w:t>
            </w:r>
          </w:p>
        </w:tc>
        <w:tc>
          <w:tcPr>
            <w:tcW w:w="689" w:type="dxa"/>
            <w:tcBorders>
              <w:right w:val="single" w:sz="18" w:space="0" w:color="auto"/>
            </w:tcBorders>
            <w:noWrap/>
            <w:vAlign w:val="center"/>
            <w:hideMark/>
          </w:tcPr>
          <w:p w:rsidR="006B52E6" w:rsidRPr="003F365A" w:rsidRDefault="006B52E6" w:rsidP="006B52E6">
            <w:pPr>
              <w:jc w:val="right"/>
              <w:rPr>
                <w:rFonts w:eastAsia="Times New Roman" w:cs="Times New Roman"/>
                <w:b/>
                <w:color w:val="0070C0"/>
                <w:sz w:val="20"/>
                <w:szCs w:val="20"/>
                <w:lang w:eastAsia="en-GB"/>
              </w:rPr>
            </w:pPr>
            <w:r w:rsidRPr="003F365A">
              <w:rPr>
                <w:rFonts w:eastAsia="Times New Roman" w:cs="Times New Roman"/>
                <w:b/>
                <w:color w:val="0070C0"/>
                <w:sz w:val="20"/>
                <w:szCs w:val="20"/>
                <w:lang w:eastAsia="en-GB"/>
              </w:rPr>
              <w:t>0.0</w:t>
            </w:r>
          </w:p>
        </w:tc>
        <w:tc>
          <w:tcPr>
            <w:tcW w:w="488" w:type="dxa"/>
            <w:tcBorders>
              <w:top w:val="single" w:sz="6" w:space="0" w:color="auto"/>
              <w:left w:val="single" w:sz="18" w:space="0" w:color="auto"/>
              <w:bottom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w:t>
            </w:r>
          </w:p>
        </w:tc>
        <w:tc>
          <w:tcPr>
            <w:tcW w:w="690" w:type="dxa"/>
            <w:tcBorders>
              <w:top w:val="single" w:sz="6" w:space="0" w:color="auto"/>
              <w:bottom w:val="single" w:sz="18" w:space="0" w:color="auto"/>
              <w:right w:val="single" w:sz="18" w:space="0" w:color="auto"/>
            </w:tcBorders>
            <w:noWrap/>
            <w:vAlign w:val="center"/>
            <w:hideMark/>
          </w:tcPr>
          <w:p w:rsidR="006B52E6" w:rsidRPr="003F365A" w:rsidRDefault="006B52E6" w:rsidP="006B52E6">
            <w:pPr>
              <w:jc w:val="right"/>
              <w:rPr>
                <w:rFonts w:eastAsia="Times New Roman" w:cs="Times New Roman"/>
                <w:b/>
                <w:color w:val="FFC000"/>
                <w:sz w:val="20"/>
                <w:szCs w:val="20"/>
                <w:lang w:eastAsia="en-GB"/>
              </w:rPr>
            </w:pPr>
            <w:r w:rsidRPr="003F365A">
              <w:rPr>
                <w:rFonts w:eastAsia="Times New Roman" w:cs="Times New Roman"/>
                <w:b/>
                <w:color w:val="FFC000"/>
                <w:sz w:val="20"/>
                <w:szCs w:val="20"/>
                <w:lang w:eastAsia="en-GB"/>
              </w:rPr>
              <w:t>0.0</w:t>
            </w:r>
          </w:p>
        </w:tc>
        <w:tc>
          <w:tcPr>
            <w:tcW w:w="519" w:type="dxa"/>
            <w:tcBorders>
              <w:top w:val="single" w:sz="6" w:space="0" w:color="auto"/>
              <w:left w:val="single" w:sz="18" w:space="0" w:color="auto"/>
              <w:bottom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2</w:t>
            </w:r>
          </w:p>
        </w:tc>
        <w:tc>
          <w:tcPr>
            <w:tcW w:w="689" w:type="dxa"/>
            <w:tcBorders>
              <w:top w:val="single" w:sz="6" w:space="0" w:color="auto"/>
              <w:bottom w:val="single" w:sz="18" w:space="0" w:color="auto"/>
              <w:right w:val="single" w:sz="18" w:space="0" w:color="auto"/>
            </w:tcBorders>
            <w:noWrap/>
            <w:vAlign w:val="center"/>
            <w:hideMark/>
          </w:tcPr>
          <w:p w:rsidR="006B52E6" w:rsidRPr="003F365A" w:rsidRDefault="006B52E6" w:rsidP="006B52E6">
            <w:pPr>
              <w:jc w:val="right"/>
              <w:rPr>
                <w:rFonts w:eastAsia="Times New Roman" w:cs="Times New Roman"/>
                <w:b/>
                <w:color w:val="7030A0"/>
                <w:sz w:val="20"/>
                <w:szCs w:val="20"/>
                <w:lang w:eastAsia="en-GB"/>
              </w:rPr>
            </w:pPr>
            <w:r w:rsidRPr="003F365A">
              <w:rPr>
                <w:rFonts w:eastAsia="Times New Roman" w:cs="Times New Roman"/>
                <w:b/>
                <w:color w:val="7030A0"/>
                <w:sz w:val="20"/>
                <w:szCs w:val="20"/>
                <w:lang w:eastAsia="en-GB"/>
              </w:rPr>
              <w:t>8.0</w:t>
            </w:r>
          </w:p>
        </w:tc>
        <w:tc>
          <w:tcPr>
            <w:tcW w:w="1006" w:type="dxa"/>
            <w:tcBorders>
              <w:left w:val="single" w:sz="18" w:space="0" w:color="auto"/>
            </w:tcBorders>
            <w:noWrap/>
            <w:vAlign w:val="center"/>
            <w:hideMark/>
          </w:tcPr>
          <w:p w:rsidR="006B52E6" w:rsidRPr="003F365A" w:rsidRDefault="006B52E6" w:rsidP="006B52E6">
            <w:pPr>
              <w:jc w:val="right"/>
              <w:rPr>
                <w:rFonts w:eastAsia="Times New Roman" w:cs="Times New Roman"/>
                <w:b/>
                <w:color w:val="5F497A" w:themeColor="accent4" w:themeShade="BF"/>
                <w:sz w:val="20"/>
                <w:szCs w:val="20"/>
                <w:lang w:eastAsia="en-GB"/>
              </w:rPr>
            </w:pPr>
            <w:r w:rsidRPr="003F365A">
              <w:rPr>
                <w:rFonts w:eastAsia="Times New Roman" w:cs="Times New Roman"/>
                <w:b/>
                <w:color w:val="5F497A" w:themeColor="accent4" w:themeShade="BF"/>
                <w:sz w:val="20"/>
                <w:szCs w:val="20"/>
                <w:lang w:eastAsia="en-GB"/>
              </w:rPr>
              <w:t>5</w:t>
            </w:r>
          </w:p>
        </w:tc>
      </w:tr>
    </w:tbl>
    <w:p w:rsidR="00BD12F2" w:rsidRDefault="00BD12F2" w:rsidP="00B71AC8">
      <w:pPr>
        <w:pStyle w:val="ListParagraph"/>
        <w:ind w:left="0"/>
      </w:pPr>
    </w:p>
    <w:p w:rsidR="00F04820" w:rsidRPr="00F04820" w:rsidRDefault="00F04820" w:rsidP="00F04820">
      <w:pPr>
        <w:pStyle w:val="ListParagraph"/>
        <w:shd w:val="clear" w:color="auto" w:fill="DAEEF3" w:themeFill="accent5" w:themeFillTint="33"/>
        <w:ind w:left="0"/>
        <w:rPr>
          <w:b/>
        </w:rPr>
      </w:pPr>
      <w:r w:rsidRPr="00F04820">
        <w:rPr>
          <w:b/>
        </w:rPr>
        <w:t>The aggregated data shows:</w:t>
      </w:r>
    </w:p>
    <w:p w:rsidR="00F04820" w:rsidRDefault="00F04820" w:rsidP="00F04820">
      <w:pPr>
        <w:pStyle w:val="ListParagraph"/>
        <w:tabs>
          <w:tab w:val="left" w:pos="7275"/>
        </w:tabs>
        <w:rPr>
          <w:bCs/>
        </w:rPr>
      </w:pPr>
    </w:p>
    <w:p w:rsidR="00F04820" w:rsidRPr="00F04820" w:rsidRDefault="00F04820" w:rsidP="00F04820">
      <w:pPr>
        <w:pStyle w:val="ListParagraph"/>
        <w:numPr>
          <w:ilvl w:val="0"/>
          <w:numId w:val="16"/>
        </w:numPr>
        <w:tabs>
          <w:tab w:val="left" w:pos="7275"/>
        </w:tabs>
        <w:rPr>
          <w:bCs/>
        </w:rPr>
      </w:pPr>
      <w:r>
        <w:rPr>
          <w:bCs/>
        </w:rPr>
        <w:t>The things that would m</w:t>
      </w:r>
      <w:r w:rsidR="00A71B86">
        <w:rPr>
          <w:bCs/>
        </w:rPr>
        <w:t>ost put students off going to HE</w:t>
      </w:r>
      <w:r>
        <w:rPr>
          <w:bCs/>
        </w:rPr>
        <w:t xml:space="preserve"> are: not getting the grades which is the largest worry by far, not being able to afford it and not knowing anybody else who has gone onto HE.</w:t>
      </w:r>
    </w:p>
    <w:p w:rsidR="00C44324" w:rsidRPr="009A61D0" w:rsidRDefault="00C44324" w:rsidP="00B71AC8">
      <w:pPr>
        <w:pStyle w:val="ListParagraph"/>
        <w:ind w:left="0"/>
      </w:pPr>
    </w:p>
    <w:p w:rsidR="0071181F" w:rsidRPr="00B976D2" w:rsidRDefault="0071181F" w:rsidP="00B976D2">
      <w:pPr>
        <w:pStyle w:val="ListParagraph"/>
        <w:shd w:val="clear" w:color="auto" w:fill="DAEEF3" w:themeFill="accent5" w:themeFillTint="33"/>
        <w:ind w:left="0"/>
        <w:rPr>
          <w:b/>
        </w:rPr>
      </w:pPr>
      <w:r w:rsidRPr="00B976D2">
        <w:rPr>
          <w:b/>
        </w:rPr>
        <w:t>Recommendations</w:t>
      </w:r>
      <w:r w:rsidR="00B06F8E">
        <w:rPr>
          <w:b/>
        </w:rPr>
        <w:t xml:space="preserve"> based on what we are learning from Careerpilot and the Careerpilot Guidance sessions</w:t>
      </w:r>
      <w:r w:rsidRPr="00B976D2">
        <w:rPr>
          <w:b/>
        </w:rPr>
        <w:t>:</w:t>
      </w:r>
    </w:p>
    <w:p w:rsidR="00042DE3" w:rsidRPr="00B976D2" w:rsidRDefault="00042DE3" w:rsidP="00B71AC8">
      <w:pPr>
        <w:pStyle w:val="ListParagraph"/>
        <w:ind w:left="0"/>
      </w:pPr>
    </w:p>
    <w:p w:rsidR="00B976D2" w:rsidRDefault="00F04820" w:rsidP="00B71AC8">
      <w:pPr>
        <w:pStyle w:val="ListParagraph"/>
        <w:ind w:left="0"/>
      </w:pPr>
      <w:r w:rsidRPr="00107AA5">
        <w:rPr>
          <w:b/>
        </w:rPr>
        <w:t xml:space="preserve">To support </w:t>
      </w:r>
      <w:r w:rsidR="00B976D2" w:rsidRPr="00107AA5">
        <w:rPr>
          <w:b/>
        </w:rPr>
        <w:t xml:space="preserve">WIN students </w:t>
      </w:r>
      <w:r w:rsidRPr="00107AA5">
        <w:rPr>
          <w:b/>
        </w:rPr>
        <w:t xml:space="preserve">in </w:t>
      </w:r>
      <w:r w:rsidR="00107AA5" w:rsidRPr="00107AA5">
        <w:rPr>
          <w:b/>
        </w:rPr>
        <w:t>understanding what student life is like</w:t>
      </w:r>
      <w:r w:rsidR="00107AA5">
        <w:t xml:space="preserve"> and in knowing someone who has been onto HE</w:t>
      </w:r>
      <w:r w:rsidR="00B06F8E">
        <w:t>/6</w:t>
      </w:r>
      <w:r w:rsidR="00B06F8E" w:rsidRPr="00B06F8E">
        <w:rPr>
          <w:vertAlign w:val="superscript"/>
        </w:rPr>
        <w:t>th</w:t>
      </w:r>
      <w:r w:rsidR="00B06F8E">
        <w:t xml:space="preserve"> Form</w:t>
      </w:r>
      <w:r w:rsidR="00107AA5">
        <w:t xml:space="preserve"> they </w:t>
      </w:r>
      <w:r w:rsidR="00B976D2">
        <w:t>would benefit from access</w:t>
      </w:r>
      <w:r w:rsidR="00B976D2" w:rsidRPr="00B976D2">
        <w:t xml:space="preserve"> to </w:t>
      </w:r>
      <w:r w:rsidR="00B976D2" w:rsidRPr="00B976D2">
        <w:rPr>
          <w:b/>
        </w:rPr>
        <w:t>student ambassadors/mentors</w:t>
      </w:r>
      <w:r w:rsidR="00B976D2">
        <w:t>,</w:t>
      </w:r>
      <w:r w:rsidR="00B976D2" w:rsidRPr="00B976D2">
        <w:t xml:space="preserve"> from both a 6</w:t>
      </w:r>
      <w:r w:rsidR="00B976D2" w:rsidRPr="00B976D2">
        <w:rPr>
          <w:vertAlign w:val="superscript"/>
        </w:rPr>
        <w:t>Th</w:t>
      </w:r>
      <w:r w:rsidR="00B976D2" w:rsidRPr="00B976D2">
        <w:t xml:space="preserve"> Form and a univer</w:t>
      </w:r>
      <w:r w:rsidR="00B976D2">
        <w:t>s</w:t>
      </w:r>
      <w:r w:rsidR="00B976D2" w:rsidRPr="00B976D2">
        <w:t xml:space="preserve">ity or college. </w:t>
      </w:r>
    </w:p>
    <w:p w:rsidR="00B976D2" w:rsidRDefault="00B976D2" w:rsidP="00B71AC8">
      <w:pPr>
        <w:pStyle w:val="ListParagraph"/>
        <w:ind w:left="0"/>
      </w:pPr>
    </w:p>
    <w:p w:rsidR="00B976D2" w:rsidRDefault="00B976D2" w:rsidP="00B71AC8">
      <w:pPr>
        <w:pStyle w:val="ListParagraph"/>
        <w:ind w:left="0"/>
      </w:pPr>
      <w:r w:rsidRPr="00B976D2">
        <w:rPr>
          <w:b/>
        </w:rPr>
        <w:t xml:space="preserve">To support pre 16 </w:t>
      </w:r>
      <w:r>
        <w:rPr>
          <w:b/>
        </w:rPr>
        <w:t xml:space="preserve">WIN </w:t>
      </w:r>
      <w:r w:rsidRPr="00B976D2">
        <w:rPr>
          <w:b/>
        </w:rPr>
        <w:t xml:space="preserve">students in making informed decisions about progression to </w:t>
      </w:r>
      <w:r w:rsidR="00107AA5">
        <w:rPr>
          <w:b/>
        </w:rPr>
        <w:t>an academic pathway</w:t>
      </w:r>
      <w:r w:rsidRPr="00B976D2">
        <w:rPr>
          <w:b/>
        </w:rPr>
        <w:t>:</w:t>
      </w:r>
      <w:r>
        <w:t xml:space="preserve">  Pre 16 WIN students need to see A Levels as something </w:t>
      </w:r>
      <w:r w:rsidRPr="00B976D2">
        <w:rPr>
          <w:i/>
        </w:rPr>
        <w:t xml:space="preserve">they </w:t>
      </w:r>
      <w:r>
        <w:t>could do. Mentoring from existing A Level students could help to make the difference at this key progression point, especially as</w:t>
      </w:r>
      <w:r w:rsidR="00B06F8E">
        <w:t xml:space="preserve"> CFE</w:t>
      </w:r>
      <w:r>
        <w:t xml:space="preserve"> </w:t>
      </w:r>
      <w:r w:rsidR="00107AA5">
        <w:t xml:space="preserve">NCOP </w:t>
      </w:r>
      <w:r>
        <w:t>research shows progression to a college</w:t>
      </w:r>
      <w:r w:rsidR="00107AA5">
        <w:t xml:space="preserve"> is less likely to </w:t>
      </w:r>
      <w:r w:rsidR="00A71B86">
        <w:t>result in progression to HE than</w:t>
      </w:r>
      <w:r w:rsidR="00107AA5">
        <w:t xml:space="preserve"> through a 6</w:t>
      </w:r>
      <w:r w:rsidR="00107AA5" w:rsidRPr="00107AA5">
        <w:rPr>
          <w:vertAlign w:val="superscript"/>
        </w:rPr>
        <w:t>th</w:t>
      </w:r>
      <w:r w:rsidR="00107AA5">
        <w:t xml:space="preserve"> Form.</w:t>
      </w:r>
    </w:p>
    <w:p w:rsidR="00042DE3" w:rsidRPr="00042DE3" w:rsidRDefault="00042DE3" w:rsidP="00B71AC8">
      <w:pPr>
        <w:pStyle w:val="ListParagraph"/>
        <w:ind w:left="0"/>
        <w:rPr>
          <w:b/>
        </w:rPr>
      </w:pPr>
    </w:p>
    <w:p w:rsidR="00042DE3" w:rsidRDefault="00B976D2" w:rsidP="00B71AC8">
      <w:pPr>
        <w:pStyle w:val="ListParagraph"/>
        <w:ind w:left="0"/>
      </w:pPr>
      <w:r>
        <w:rPr>
          <w:b/>
        </w:rPr>
        <w:t xml:space="preserve">To give WIN students the support they need to develop career-readiness: </w:t>
      </w:r>
      <w:r w:rsidRPr="00B976D2">
        <w:t>WIN students would benefit from being supported to participate in h</w:t>
      </w:r>
      <w:r w:rsidR="00042DE3" w:rsidRPr="00B976D2">
        <w:t>igh quality individualised work experience</w:t>
      </w:r>
      <w:r w:rsidRPr="00B976D2">
        <w:t xml:space="preserve"> in Y10 and Y12</w:t>
      </w:r>
      <w:r>
        <w:rPr>
          <w:b/>
        </w:rPr>
        <w:t xml:space="preserve">. </w:t>
      </w:r>
      <w:r>
        <w:t xml:space="preserve"> T</w:t>
      </w:r>
      <w:r w:rsidR="00042DE3">
        <w:t>he best placements nearly always go to people whose parents know someone</w:t>
      </w:r>
      <w:r w:rsidR="004339AF">
        <w:t xml:space="preserve"> in interesting jobs</w:t>
      </w:r>
      <w:r w:rsidR="00042DE3">
        <w:t xml:space="preserve">. </w:t>
      </w:r>
      <w:r w:rsidR="001514E5">
        <w:t>The WIN could</w:t>
      </w:r>
      <w:r w:rsidR="00042DE3">
        <w:t xml:space="preserve"> help to </w:t>
      </w:r>
      <w:r w:rsidR="001514E5">
        <w:t>find professional placement/</w:t>
      </w:r>
      <w:r w:rsidR="004339AF">
        <w:t>shadowing opportunities</w:t>
      </w:r>
      <w:r w:rsidR="00042DE3">
        <w:t>.</w:t>
      </w:r>
      <w:r w:rsidR="004339AF">
        <w:t xml:space="preserve"> </w:t>
      </w:r>
      <w:r w:rsidR="001514E5">
        <w:t xml:space="preserve">A strategy to enable this to </w:t>
      </w:r>
      <w:r w:rsidR="004339AF">
        <w:t xml:space="preserve">happen </w:t>
      </w:r>
      <w:r w:rsidR="001514E5">
        <w:t xml:space="preserve">could be to engage the </w:t>
      </w:r>
      <w:r w:rsidR="004339AF">
        <w:t xml:space="preserve">University of Bath </w:t>
      </w:r>
      <w:r w:rsidR="001514E5">
        <w:t>in setting up ring-</w:t>
      </w:r>
      <w:r w:rsidR="004339AF">
        <w:t>fence</w:t>
      </w:r>
      <w:r w:rsidR="001514E5">
        <w:t>d</w:t>
      </w:r>
      <w:r w:rsidR="004339AF">
        <w:t xml:space="preserve"> work placements for </w:t>
      </w:r>
      <w:r w:rsidR="001514E5">
        <w:t xml:space="preserve">WP </w:t>
      </w:r>
      <w:r w:rsidR="004339AF">
        <w:t>students</w:t>
      </w:r>
      <w:r w:rsidR="001514E5">
        <w:t xml:space="preserve">, across all </w:t>
      </w:r>
      <w:r w:rsidR="004339AF">
        <w:t>departments</w:t>
      </w:r>
      <w:r w:rsidR="001514E5">
        <w:t>,</w:t>
      </w:r>
      <w:r w:rsidR="004339AF">
        <w:t xml:space="preserve"> in a range of roles. This would </w:t>
      </w:r>
      <w:r w:rsidR="001514E5">
        <w:t>have the dual benefit of enabling</w:t>
      </w:r>
      <w:r w:rsidR="004339AF">
        <w:t xml:space="preserve"> the young person to </w:t>
      </w:r>
      <w:r w:rsidR="001514E5">
        <w:t xml:space="preserve">experience </w:t>
      </w:r>
      <w:r w:rsidR="004339AF">
        <w:t xml:space="preserve">a university </w:t>
      </w:r>
      <w:r w:rsidR="001514E5">
        <w:t>too.</w:t>
      </w:r>
    </w:p>
    <w:p w:rsidR="004339AF" w:rsidRPr="001514E5" w:rsidRDefault="004339AF" w:rsidP="00B71AC8">
      <w:pPr>
        <w:pStyle w:val="ListParagraph"/>
        <w:ind w:left="0"/>
        <w:rPr>
          <w:b/>
        </w:rPr>
      </w:pPr>
    </w:p>
    <w:p w:rsidR="00042DE3" w:rsidRDefault="001514E5" w:rsidP="00B71AC8">
      <w:pPr>
        <w:pStyle w:val="ListParagraph"/>
        <w:ind w:left="0"/>
      </w:pPr>
      <w:r w:rsidRPr="001514E5">
        <w:rPr>
          <w:b/>
        </w:rPr>
        <w:t>To meet individual needs</w:t>
      </w:r>
      <w:r>
        <w:rPr>
          <w:b/>
        </w:rPr>
        <w:t xml:space="preserve"> and have a more tailored impact</w:t>
      </w:r>
      <w:r>
        <w:t xml:space="preserve">: </w:t>
      </w:r>
      <w:r w:rsidR="004339AF">
        <w:t xml:space="preserve">Use </w:t>
      </w:r>
      <w:r>
        <w:t>HEAs/project officers</w:t>
      </w:r>
      <w:r w:rsidR="004339AF">
        <w:t xml:space="preserve"> to organise small or bespoke sessions to fit with a young person’s interest</w:t>
      </w:r>
      <w:r>
        <w:t>/barriers</w:t>
      </w:r>
      <w:r w:rsidR="004339AF">
        <w:t xml:space="preserve">. </w:t>
      </w:r>
      <w:r w:rsidR="00107AA5">
        <w:t>This</w:t>
      </w:r>
      <w:r w:rsidR="004339AF">
        <w:t xml:space="preserve"> intensive </w:t>
      </w:r>
      <w:r w:rsidR="00107AA5">
        <w:t>support</w:t>
      </w:r>
      <w:r w:rsidR="004339AF">
        <w:t xml:space="preserve"> may have </w:t>
      </w:r>
      <w:r w:rsidR="00107AA5">
        <w:t xml:space="preserve">significant </w:t>
      </w:r>
      <w:r w:rsidR="004339AF">
        <w:t xml:space="preserve">impact in the long term on students </w:t>
      </w:r>
      <w:r w:rsidR="00107AA5">
        <w:t>progressing</w:t>
      </w:r>
      <w:r w:rsidR="00B06F8E">
        <w:t xml:space="preserve"> to Higher Education e.g. taking them to an open day, through the financ</w:t>
      </w:r>
      <w:r w:rsidR="00BC371E">
        <w:t>es for uni, helping them get a work experience placement, etc.</w:t>
      </w:r>
    </w:p>
    <w:p w:rsidR="00BC371E" w:rsidRDefault="00BC371E" w:rsidP="00B71AC8">
      <w:pPr>
        <w:pStyle w:val="ListParagraph"/>
        <w:ind w:left="0"/>
      </w:pPr>
    </w:p>
    <w:p w:rsidR="00BC371E" w:rsidRDefault="00BC371E" w:rsidP="00B71AC8">
      <w:pPr>
        <w:pStyle w:val="ListParagraph"/>
        <w:ind w:left="0"/>
      </w:pPr>
      <w:r w:rsidRPr="00BC371E">
        <w:rPr>
          <w:b/>
        </w:rPr>
        <w:t>To ensure students with specific, urgent needs are follow</w:t>
      </w:r>
      <w:r>
        <w:rPr>
          <w:b/>
        </w:rPr>
        <w:t>ed</w:t>
      </w:r>
      <w:r w:rsidRPr="00BC371E">
        <w:rPr>
          <w:b/>
        </w:rPr>
        <w:t xml:space="preserve"> up</w:t>
      </w:r>
      <w:r>
        <w:t xml:space="preserve"> after guidance we could develop a set of criteria and a flagging system showing red, amber, green. Students who are red should be seen within a certain time-frame by the HEA.</w:t>
      </w:r>
    </w:p>
    <w:p w:rsidR="004339AF" w:rsidRDefault="004339AF" w:rsidP="00B71AC8">
      <w:pPr>
        <w:pStyle w:val="ListParagraph"/>
        <w:ind w:left="0"/>
      </w:pPr>
    </w:p>
    <w:p w:rsidR="004339AF" w:rsidRDefault="001514E5" w:rsidP="00B71AC8">
      <w:pPr>
        <w:pStyle w:val="ListParagraph"/>
        <w:ind w:left="0"/>
      </w:pPr>
      <w:r w:rsidRPr="001514E5">
        <w:rPr>
          <w:b/>
        </w:rPr>
        <w:t>To ensure parents are engaged, informed and supportive:</w:t>
      </w:r>
      <w:r>
        <w:t xml:space="preserve"> </w:t>
      </w:r>
      <w:r w:rsidR="00107AA5">
        <w:t>Engage</w:t>
      </w:r>
      <w:r w:rsidR="004339AF">
        <w:t xml:space="preserve"> </w:t>
      </w:r>
      <w:r>
        <w:t>WIN</w:t>
      </w:r>
      <w:r w:rsidR="004339AF">
        <w:t xml:space="preserve"> parents</w:t>
      </w:r>
      <w:r>
        <w:t xml:space="preserve"> through</w:t>
      </w:r>
      <w:r w:rsidR="004339AF">
        <w:t xml:space="preserve"> individualised letters, booked appointments at parent</w:t>
      </w:r>
      <w:r>
        <w:t>’</w:t>
      </w:r>
      <w:r w:rsidR="004339AF">
        <w:t>s evenings, phone calls etc.</w:t>
      </w:r>
      <w:r w:rsidRPr="001514E5">
        <w:t xml:space="preserve"> </w:t>
      </w:r>
      <w:r w:rsidR="00107AA5">
        <w:t>NCOP r</w:t>
      </w:r>
      <w:r>
        <w:t>esearch shows they have the biggest influence on young peoples’ decision making.</w:t>
      </w:r>
    </w:p>
    <w:p w:rsidR="00A71B86" w:rsidRDefault="00A71B86" w:rsidP="00B71AC8">
      <w:pPr>
        <w:pStyle w:val="ListParagraph"/>
        <w:ind w:left="0"/>
      </w:pPr>
    </w:p>
    <w:p w:rsidR="00A71B86" w:rsidRDefault="00A71B86" w:rsidP="00B71AC8">
      <w:pPr>
        <w:pStyle w:val="ListParagraph"/>
        <w:ind w:left="0"/>
      </w:pPr>
      <w:r w:rsidRPr="00A71B86">
        <w:rPr>
          <w:b/>
        </w:rPr>
        <w:t>To ensure NCOP students start to explore and plan their progression</w:t>
      </w:r>
      <w:r>
        <w:t xml:space="preserve"> </w:t>
      </w:r>
      <w:r w:rsidRPr="00A71B86">
        <w:rPr>
          <w:b/>
        </w:rPr>
        <w:t>earlier</w:t>
      </w:r>
      <w:r>
        <w:t xml:space="preserve"> offer Y9 Careerpilot workshops to all WIN schools; </w:t>
      </w:r>
    </w:p>
    <w:p w:rsidR="004339AF" w:rsidRDefault="004339AF" w:rsidP="00B71AC8">
      <w:pPr>
        <w:pStyle w:val="ListParagraph"/>
        <w:ind w:left="0"/>
      </w:pPr>
    </w:p>
    <w:p w:rsidR="004339AF" w:rsidRDefault="001514E5" w:rsidP="00B71AC8">
      <w:pPr>
        <w:pStyle w:val="ListParagraph"/>
        <w:ind w:left="0"/>
      </w:pPr>
      <w:r w:rsidRPr="001514E5">
        <w:rPr>
          <w:b/>
        </w:rPr>
        <w:t>To support students in developing maths/science and English skills</w:t>
      </w:r>
      <w:r w:rsidR="00BC371E">
        <w:rPr>
          <w:b/>
        </w:rPr>
        <w:t xml:space="preserve"> up to grade 4</w:t>
      </w:r>
      <w:r w:rsidRPr="001514E5">
        <w:rPr>
          <w:b/>
        </w:rPr>
        <w:t>:</w:t>
      </w:r>
      <w:r>
        <w:t xml:space="preserve"> The WIN could, with the University of Bath, </w:t>
      </w:r>
      <w:r w:rsidR="00BC371E">
        <w:t xml:space="preserve">mentoring from existing Y12 students, </w:t>
      </w:r>
      <w:r>
        <w:t>offer</w:t>
      </w:r>
      <w:r w:rsidR="004339AF">
        <w:t xml:space="preserve"> GCSE science/ maths/ English revision sessions out in school/ homework clubs to support students in struggling schools.</w:t>
      </w:r>
    </w:p>
    <w:p w:rsidR="004339AF" w:rsidRDefault="004339AF" w:rsidP="00B71AC8">
      <w:pPr>
        <w:pStyle w:val="ListParagraph"/>
        <w:ind w:left="0"/>
      </w:pPr>
    </w:p>
    <w:p w:rsidR="004339AF" w:rsidRDefault="001514E5" w:rsidP="00B71AC8">
      <w:pPr>
        <w:pStyle w:val="ListParagraph"/>
        <w:ind w:left="0"/>
      </w:pPr>
      <w:r w:rsidRPr="006F1C63">
        <w:rPr>
          <w:b/>
        </w:rPr>
        <w:t>To raise aspirations for those thinking about the armed services</w:t>
      </w:r>
      <w:r>
        <w:t xml:space="preserve">: </w:t>
      </w:r>
      <w:r w:rsidR="004339AF">
        <w:t>In the scho</w:t>
      </w:r>
      <w:r w:rsidR="00A71B86">
        <w:t xml:space="preserve">ols linked to the armed forces </w:t>
      </w:r>
      <w:r>
        <w:t>the WIN could work</w:t>
      </w:r>
      <w:r w:rsidR="004339AF">
        <w:t xml:space="preserve"> more closely with cadet organisers to promote ‘officer routes’ and the benefits of education in terms </w:t>
      </w:r>
      <w:r w:rsidR="00A71B86">
        <w:t>of opportunities in the forces.</w:t>
      </w:r>
    </w:p>
    <w:p w:rsidR="004339AF" w:rsidRDefault="004339AF" w:rsidP="00B71AC8">
      <w:pPr>
        <w:pStyle w:val="ListParagraph"/>
        <w:ind w:left="0"/>
      </w:pPr>
    </w:p>
    <w:p w:rsidR="001514E5" w:rsidRDefault="008E7B5F" w:rsidP="00B71AC8">
      <w:pPr>
        <w:pStyle w:val="ListParagraph"/>
        <w:ind w:left="0"/>
      </w:pPr>
      <w:r>
        <w:t xml:space="preserve">Sue Lewis: Careerpilot Co-ordinator </w:t>
      </w:r>
      <w:r w:rsidR="00107AA5">
        <w:t>and Louise Croft: Guidance Adviser</w:t>
      </w:r>
    </w:p>
    <w:p w:rsidR="008E7B5F" w:rsidRDefault="001514E5" w:rsidP="00B71AC8">
      <w:pPr>
        <w:pStyle w:val="ListParagraph"/>
        <w:ind w:left="0"/>
      </w:pPr>
      <w:r>
        <w:t>February 2019</w:t>
      </w:r>
    </w:p>
    <w:p w:rsidR="00E731B4" w:rsidRDefault="00E731B4" w:rsidP="00B71AC8">
      <w:pPr>
        <w:pStyle w:val="ListParagraph"/>
        <w:ind w:left="0"/>
      </w:pPr>
    </w:p>
    <w:p w:rsidR="00E731B4" w:rsidRDefault="00E731B4" w:rsidP="00B71AC8">
      <w:pPr>
        <w:pStyle w:val="ListParagraph"/>
        <w:ind w:left="0"/>
      </w:pPr>
    </w:p>
    <w:p w:rsidR="006241CE" w:rsidRDefault="006241CE" w:rsidP="00B71AC8">
      <w:pPr>
        <w:pStyle w:val="ListParagraph"/>
        <w:ind w:left="0"/>
      </w:pPr>
    </w:p>
    <w:sectPr w:rsidR="006241CE" w:rsidSect="00DE4BBA">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0C6"/>
    <w:multiLevelType w:val="hybridMultilevel"/>
    <w:tmpl w:val="21E0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449A4"/>
    <w:multiLevelType w:val="hybridMultilevel"/>
    <w:tmpl w:val="D1A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5BDD"/>
    <w:multiLevelType w:val="hybridMultilevel"/>
    <w:tmpl w:val="E5BAD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31FDD"/>
    <w:multiLevelType w:val="hybridMultilevel"/>
    <w:tmpl w:val="440E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C0594"/>
    <w:multiLevelType w:val="hybridMultilevel"/>
    <w:tmpl w:val="7B4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5D9"/>
    <w:multiLevelType w:val="hybridMultilevel"/>
    <w:tmpl w:val="F74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95F35"/>
    <w:multiLevelType w:val="hybridMultilevel"/>
    <w:tmpl w:val="9586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C31F8"/>
    <w:multiLevelType w:val="hybridMultilevel"/>
    <w:tmpl w:val="4E6A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40532"/>
    <w:multiLevelType w:val="hybridMultilevel"/>
    <w:tmpl w:val="F8FE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E237D"/>
    <w:multiLevelType w:val="hybridMultilevel"/>
    <w:tmpl w:val="58F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A5DDD"/>
    <w:multiLevelType w:val="hybridMultilevel"/>
    <w:tmpl w:val="8756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77D98"/>
    <w:multiLevelType w:val="hybridMultilevel"/>
    <w:tmpl w:val="0CE0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B1CA9"/>
    <w:multiLevelType w:val="hybridMultilevel"/>
    <w:tmpl w:val="7BA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80F07"/>
    <w:multiLevelType w:val="hybridMultilevel"/>
    <w:tmpl w:val="5B78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C48A9"/>
    <w:multiLevelType w:val="hybridMultilevel"/>
    <w:tmpl w:val="A0D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41576"/>
    <w:multiLevelType w:val="hybridMultilevel"/>
    <w:tmpl w:val="0F46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22EDE"/>
    <w:multiLevelType w:val="hybridMultilevel"/>
    <w:tmpl w:val="3EF0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7"/>
  </w:num>
  <w:num w:numId="5">
    <w:abstractNumId w:val="15"/>
  </w:num>
  <w:num w:numId="6">
    <w:abstractNumId w:val="12"/>
  </w:num>
  <w:num w:numId="7">
    <w:abstractNumId w:val="1"/>
  </w:num>
  <w:num w:numId="8">
    <w:abstractNumId w:val="2"/>
  </w:num>
  <w:num w:numId="9">
    <w:abstractNumId w:val="13"/>
  </w:num>
  <w:num w:numId="10">
    <w:abstractNumId w:val="6"/>
  </w:num>
  <w:num w:numId="11">
    <w:abstractNumId w:val="16"/>
  </w:num>
  <w:num w:numId="12">
    <w:abstractNumId w:val="8"/>
  </w:num>
  <w:num w:numId="13">
    <w:abstractNumId w:val="4"/>
  </w:num>
  <w:num w:numId="14">
    <w:abstractNumId w:val="14"/>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A6"/>
    <w:rsid w:val="00042DE3"/>
    <w:rsid w:val="00046EB5"/>
    <w:rsid w:val="00050858"/>
    <w:rsid w:val="0005627B"/>
    <w:rsid w:val="000839F5"/>
    <w:rsid w:val="00084D50"/>
    <w:rsid w:val="000A2C37"/>
    <w:rsid w:val="000A54EF"/>
    <w:rsid w:val="000B13C4"/>
    <w:rsid w:val="00107AA5"/>
    <w:rsid w:val="001514E5"/>
    <w:rsid w:val="00172751"/>
    <w:rsid w:val="001728FF"/>
    <w:rsid w:val="00184FEB"/>
    <w:rsid w:val="0019086B"/>
    <w:rsid w:val="001B1D47"/>
    <w:rsid w:val="002002B2"/>
    <w:rsid w:val="00233751"/>
    <w:rsid w:val="00241D3B"/>
    <w:rsid w:val="002744D6"/>
    <w:rsid w:val="00311864"/>
    <w:rsid w:val="00321E6D"/>
    <w:rsid w:val="00350C3E"/>
    <w:rsid w:val="003814E9"/>
    <w:rsid w:val="00385802"/>
    <w:rsid w:val="0039473C"/>
    <w:rsid w:val="003B6B49"/>
    <w:rsid w:val="003C111D"/>
    <w:rsid w:val="004339AF"/>
    <w:rsid w:val="00452F7D"/>
    <w:rsid w:val="004575A3"/>
    <w:rsid w:val="00475664"/>
    <w:rsid w:val="00482442"/>
    <w:rsid w:val="00496DFD"/>
    <w:rsid w:val="004E7B0C"/>
    <w:rsid w:val="005042E9"/>
    <w:rsid w:val="00573558"/>
    <w:rsid w:val="005937B3"/>
    <w:rsid w:val="005955ED"/>
    <w:rsid w:val="005C0B53"/>
    <w:rsid w:val="00604485"/>
    <w:rsid w:val="00613D4A"/>
    <w:rsid w:val="006145AE"/>
    <w:rsid w:val="006241CE"/>
    <w:rsid w:val="00650795"/>
    <w:rsid w:val="006B44BC"/>
    <w:rsid w:val="006B52E6"/>
    <w:rsid w:val="006D2702"/>
    <w:rsid w:val="006D5090"/>
    <w:rsid w:val="006D707E"/>
    <w:rsid w:val="006F1C63"/>
    <w:rsid w:val="006F36B8"/>
    <w:rsid w:val="0071181F"/>
    <w:rsid w:val="00772A79"/>
    <w:rsid w:val="00790247"/>
    <w:rsid w:val="00790B05"/>
    <w:rsid w:val="007B538D"/>
    <w:rsid w:val="007E28A3"/>
    <w:rsid w:val="007E54DA"/>
    <w:rsid w:val="00802035"/>
    <w:rsid w:val="00826C32"/>
    <w:rsid w:val="00896EB4"/>
    <w:rsid w:val="008B1DE1"/>
    <w:rsid w:val="008E7B5F"/>
    <w:rsid w:val="008F5B0A"/>
    <w:rsid w:val="00986390"/>
    <w:rsid w:val="00987F46"/>
    <w:rsid w:val="009A61D0"/>
    <w:rsid w:val="009F6073"/>
    <w:rsid w:val="009F67E0"/>
    <w:rsid w:val="00A154C7"/>
    <w:rsid w:val="00A27D9D"/>
    <w:rsid w:val="00A42C9F"/>
    <w:rsid w:val="00A53472"/>
    <w:rsid w:val="00A71B86"/>
    <w:rsid w:val="00AF41F3"/>
    <w:rsid w:val="00B03226"/>
    <w:rsid w:val="00B06F8E"/>
    <w:rsid w:val="00B227AA"/>
    <w:rsid w:val="00B5219D"/>
    <w:rsid w:val="00B6483C"/>
    <w:rsid w:val="00B71AC8"/>
    <w:rsid w:val="00B722E0"/>
    <w:rsid w:val="00B73BFD"/>
    <w:rsid w:val="00B756EF"/>
    <w:rsid w:val="00B918A6"/>
    <w:rsid w:val="00B93C40"/>
    <w:rsid w:val="00B976D2"/>
    <w:rsid w:val="00BC371E"/>
    <w:rsid w:val="00BD12F2"/>
    <w:rsid w:val="00C24044"/>
    <w:rsid w:val="00C313EE"/>
    <w:rsid w:val="00C44324"/>
    <w:rsid w:val="00C73905"/>
    <w:rsid w:val="00CD654A"/>
    <w:rsid w:val="00CF0D9A"/>
    <w:rsid w:val="00CF0E11"/>
    <w:rsid w:val="00D11F8A"/>
    <w:rsid w:val="00D24065"/>
    <w:rsid w:val="00D708BE"/>
    <w:rsid w:val="00DE2C0C"/>
    <w:rsid w:val="00DE4BBA"/>
    <w:rsid w:val="00E12054"/>
    <w:rsid w:val="00E270BB"/>
    <w:rsid w:val="00E731B4"/>
    <w:rsid w:val="00E754E9"/>
    <w:rsid w:val="00EF4129"/>
    <w:rsid w:val="00F04820"/>
    <w:rsid w:val="00F35E6C"/>
    <w:rsid w:val="00F6055C"/>
    <w:rsid w:val="00F7398E"/>
    <w:rsid w:val="00FD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CA43C-D3AE-447E-A587-A44FDC05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C8"/>
    <w:pPr>
      <w:ind w:left="720"/>
      <w:contextualSpacing/>
    </w:pPr>
  </w:style>
  <w:style w:type="character" w:styleId="Hyperlink">
    <w:name w:val="Hyperlink"/>
    <w:basedOn w:val="DefaultParagraphFont"/>
    <w:uiPriority w:val="99"/>
    <w:unhideWhenUsed/>
    <w:rsid w:val="00B756EF"/>
    <w:rPr>
      <w:color w:val="0000FF" w:themeColor="hyperlink"/>
      <w:u w:val="single"/>
    </w:rPr>
  </w:style>
  <w:style w:type="paragraph" w:styleId="BalloonText">
    <w:name w:val="Balloon Text"/>
    <w:basedOn w:val="Normal"/>
    <w:link w:val="BalloonTextChar"/>
    <w:uiPriority w:val="99"/>
    <w:semiHidden/>
    <w:unhideWhenUsed/>
    <w:rsid w:val="00B9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40"/>
    <w:rPr>
      <w:rFonts w:ascii="Segoe UI" w:hAnsi="Segoe UI" w:cs="Segoe UI"/>
      <w:sz w:val="18"/>
      <w:szCs w:val="18"/>
    </w:rPr>
  </w:style>
  <w:style w:type="table" w:styleId="TableGrid">
    <w:name w:val="Table Grid"/>
    <w:basedOn w:val="TableNormal"/>
    <w:uiPriority w:val="39"/>
    <w:rsid w:val="006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areerpil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E0CE43A7.dotm</Template>
  <TotalTime>107</TotalTime>
  <Pages>9</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Lewis</dc:creator>
  <cp:lastModifiedBy>Sue Lewis</cp:lastModifiedBy>
  <cp:revision>12</cp:revision>
  <cp:lastPrinted>2019-02-12T08:19:00Z</cp:lastPrinted>
  <dcterms:created xsi:type="dcterms:W3CDTF">2019-02-12T15:48:00Z</dcterms:created>
  <dcterms:modified xsi:type="dcterms:W3CDTF">2019-03-07T09:22:00Z</dcterms:modified>
</cp:coreProperties>
</file>